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360" w:lineRule="auto"/>
        <w:jc w:val="center"/>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A OCUPAÇÃO BELIGERANTE EM UM MUNDO ASSIMÉTRICO: UMA PERSPECTIVA DE GÊNERO</w:t>
      </w:r>
    </w:p>
    <w:p w:rsidR="00000000" w:rsidDel="00000000" w:rsidP="00000000" w:rsidRDefault="00000000" w:rsidRPr="00000000" w14:paraId="00000002">
      <w:pPr>
        <w:spacing w:line="360" w:lineRule="auto"/>
        <w:jc w:val="righ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Paula Sant’Ana Strogoff</w:t>
      </w:r>
      <w:r w:rsidDel="00000000" w:rsidR="00000000" w:rsidRPr="00000000">
        <w:rPr>
          <w:rFonts w:ascii="Times New Roman" w:cs="Times New Roman" w:eastAsia="Times New Roman" w:hAnsi="Times New Roman"/>
          <w:vertAlign w:val="superscript"/>
        </w:rPr>
        <w:footnoteReference w:customMarkFollows="0" w:id="0"/>
      </w:r>
      <w:r w:rsidDel="00000000" w:rsidR="00000000" w:rsidRPr="00000000">
        <w:rPr>
          <w:rtl w:val="0"/>
        </w:rPr>
      </w:r>
    </w:p>
    <w:p w:rsidR="00000000" w:rsidDel="00000000" w:rsidP="00000000" w:rsidRDefault="00000000" w:rsidRPr="00000000" w14:paraId="00000003">
      <w:pPr>
        <w:spacing w:line="360" w:lineRule="auto"/>
        <w:jc w:val="both"/>
        <w:rPr>
          <w:rFonts w:ascii="Times New Roman" w:cs="Times New Roman" w:eastAsia="Times New Roman" w:hAnsi="Times New Roman"/>
          <w:b w:val="1"/>
          <w:bCs w:val="1"/>
        </w:rPr>
      </w:pPr>
      <w:r w:rsidDel="00000000" w:rsidR="00000000" w:rsidRPr="00000000">
        <w:rPr>
          <w:rtl w:val="0"/>
        </w:rPr>
      </w:r>
    </w:p>
    <w:p w:rsidR="00000000" w:rsidDel="00000000" w:rsidP="00000000" w:rsidRDefault="00000000" w:rsidRPr="00000000" w14:paraId="00000004">
      <w:pPr>
        <w:spacing w:line="360" w:lineRule="auto"/>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INTRODUÇÃO</w:t>
      </w:r>
    </w:p>
    <w:p w:rsidR="00000000" w:rsidDel="00000000" w:rsidP="00000000" w:rsidRDefault="00000000" w:rsidRPr="00000000" w14:paraId="00000005">
      <w:pPr>
        <w:spacing w:line="360" w:lineRule="auto"/>
        <w:ind w:firstLine="708"/>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 direito internacional humanitário foi formulado, em grande parte, por homens e para homens. Como consequência, as realidades e necessidades específicas das mulheres estão, em sua maioria, ausentes da estrutura que rege os conflitos armados, e a redação muitas vezes reforça valores patriarcais e generalizações. O direito de ocupação não é exceção a essa negligência. Portanto, este trabalho visa propor maneiras pelas quais as questões que afetam as mulheres possam ser incluídas na implementação dessas normas, considerando que o direito, a academia e a prática têm dado pouca atenção às diferentes experiências de ocupação vivenciadas por homens e mulheres. A exclusão das perspectivas femininas corre o risco de negligenciar muitas formas diretas e indiretas de violência e discriminação não reconhecidas formalmente. A suposta neutralidade das normas pode ser prejudicial a grupos vulneráveis ​​se aplicada acriticamente.  </w:t>
      </w:r>
    </w:p>
    <w:p w:rsidR="00000000" w:rsidDel="00000000" w:rsidP="00000000" w:rsidRDefault="00000000" w:rsidRPr="00000000" w14:paraId="00000006">
      <w:pPr>
        <w:spacing w:line="360" w:lineRule="auto"/>
        <w:ind w:firstLine="708"/>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primeira seção deste estudo examina os principais instrumentos que regulamentam a ocupação, em particular a Quarta Convenção de Genebra e o Regulamento de Haia, e estabelece os princípios, deveres e direitos fundamentais da potência ocupante. Propõe-se uma leitura das disposições sob a perspectiva de gênero, abordando as lacunas na proteção e as oportunidades para interpretações progressistas. A segunda seção trata dos danos de gênero decorrentes da ocupação e argumenta que o dever da potência ocupante como administradora temporária do território deve abranger as necessidades de segurança das mulheres e as consequências de gênero de todas as medidas adotadas. Por fim, a terceira seção analisa as ocupações prolongadas em relação à tensão que pode surgir entre o princípio conservacionista e a necessidade de se adotarem medidas transformadoras, à luz dos impactos de gênero dessa realidade.</w:t>
      </w:r>
    </w:p>
    <w:p w:rsidR="00000000" w:rsidDel="00000000" w:rsidP="00000000" w:rsidRDefault="00000000" w:rsidRPr="00000000" w14:paraId="00000007">
      <w:pPr>
        <w:spacing w:line="36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8">
      <w:pPr>
        <w:spacing w:line="360" w:lineRule="auto"/>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I - O ARCABOUÇO DO DIREITO DE OCUPAÇÃO</w:t>
      </w:r>
    </w:p>
    <w:p w:rsidR="00000000" w:rsidDel="00000000" w:rsidP="00000000" w:rsidRDefault="00000000" w:rsidRPr="00000000" w14:paraId="00000009">
      <w:pPr>
        <w:spacing w:line="360" w:lineRule="auto"/>
        <w:ind w:firstLine="708"/>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primeira tentativa pelo direito internacional humanitário (DIH) de regular a ocupação beligerante ocorreu com o Regulamento Relativo às Leis e Costumes da Guerra Terrestre (Regulamento de Haia), anexo à Convenção de Haia (IV) Relativa às Leis e Costumes da Guerra Terrestre, de 18 de agosto de 1907. A Seção III do documento codifica os direitos e obrigações da autoridade militar sobre o território do Estado hostil. O Artigo 42 define que “um território é considerado ocupado quando é efetivamente colocado sob a autoridade do exército hostil. A ocupação estende-se apenas ao território onde tal autoridade foi estabelecida e pode ser exercida”. Apesar da vagueza da definição, aceita-se que a ocupação envolve uma avaliação factual do grau de autoridade militar exercida sobre um território, em vez da percepção subjetiva das partes no conflito armado (Ferraro, 2012, p. 135). Esta visão foi defendida nos julgamentos de Nuremberg dos Estados Unidos (Comissão das Nações Unidas para os Crimes de Guerra, 1949, p. 55) e foi reafirmada pela Corte Internacional de Justiça (CIJ) (CIJ, 2005, para. 173; CIJ, 2004, para. 78) e pelo Tribunal Penal Internacional para a ex-Iugoslávia (TPII) (TPII, 2003, para. 211). </w:t>
      </w:r>
    </w:p>
    <w:p w:rsidR="00000000" w:rsidDel="00000000" w:rsidP="00000000" w:rsidRDefault="00000000" w:rsidRPr="00000000" w14:paraId="0000000A">
      <w:pPr>
        <w:spacing w:line="360" w:lineRule="auto"/>
        <w:ind w:firstLine="708"/>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As regulamentações mais específicas encontram-se na Seção III da Quarta Convenção de Genebra, que trata de territórios ocupados, reafirmando e esclarecendo as disposições do Regulamento de Haia, além de acrescentar obrigações detalhadas da potência ocupante em relação à população sob sua autoridade. Das quais se destacam a proibição de transferências forçadas e deportações de pessoas protegidas nos termos do Artigo 51. De acordo com o teste factual supracitado, os Estados não podem se esquivar de suas obrigações, alegando relutância de exercer autoridade direta: a existência de controle efetivo é o fator decisivo, uma vez que os civis têm direito à proteção integral garantida pela Quarta Convenção de Genebra (Melzer, 2016, p. 70), independentemente do </w:t>
      </w:r>
      <w:r w:rsidDel="00000000" w:rsidR="00000000" w:rsidRPr="00000000">
        <w:rPr>
          <w:rFonts w:ascii="Times New Roman" w:cs="Times New Roman" w:eastAsia="Times New Roman" w:hAnsi="Times New Roman"/>
          <w:i w:val="1"/>
          <w:iCs w:val="1"/>
          <w:rtl w:val="0"/>
        </w:rPr>
        <w:t xml:space="preserve">status</w:t>
      </w:r>
      <w:r w:rsidDel="00000000" w:rsidR="00000000" w:rsidRPr="00000000">
        <w:rPr>
          <w:rFonts w:ascii="Times New Roman" w:cs="Times New Roman" w:eastAsia="Times New Roman" w:hAnsi="Times New Roman"/>
          <w:rtl w:val="0"/>
        </w:rPr>
        <w:t xml:space="preserve"> do território ocupado (CIJ, 2004, para. 95). </w:t>
      </w:r>
    </w:p>
    <w:p w:rsidR="00000000" w:rsidDel="00000000" w:rsidP="00000000" w:rsidRDefault="00000000" w:rsidRPr="00000000" w14:paraId="0000000B">
      <w:pPr>
        <w:spacing w:line="360" w:lineRule="auto"/>
        <w:ind w:firstLine="708"/>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justificativa por trás das regras que regem a ocupação é a ilegalidade absoluta da anexação unilateral de território sob o direito internacional contemporâneo. Notavelmente, o Regulamento de Haia alcançou o estatuto consuetudinário, conforme constatado pela CIJ (CIJ, 2004, para. 89). O quadro impõe restrições à potência ocupante, para evitar uma situação que viole a proibição do uso unilateral da força, nos termos do Artigo 2(4) da Carta da ONU, uma norma peremptória (Comissão de Direito Internacional, 1966, p. 247) que foi reproduzida na Declaração sobre os Princípios do Direito Internacional Relativos às Relações Amistosas e à Cooperação entre os Estados, em Conformidade com a Carta da ONU (Assembleia Geral das Nações Unidas, 1970). Mesmo no caso de anexação ilegal, as pessoas protegidas não são privadas dos direitos garantidos pela Quarta Convenção de Genebra, conforme postulado em seu Artigo 47, e a conduta da potência ocupante continua regida pelo direito de ocupação (Roberts, 2006, p. 583–584).</w:t>
      </w:r>
    </w:p>
    <w:p w:rsidR="00000000" w:rsidDel="00000000" w:rsidP="00000000" w:rsidRDefault="00000000" w:rsidRPr="00000000" w14:paraId="0000000C">
      <w:pPr>
        <w:spacing w:line="360" w:lineRule="auto"/>
        <w:ind w:firstLine="708"/>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Portanto, o direito de ocupação baseia-se fundamentalmente no caráter provisório da situação e na necessidade de se preservar, na medida do possível, o </w:t>
      </w:r>
      <w:r w:rsidDel="00000000" w:rsidR="00000000" w:rsidRPr="00000000">
        <w:rPr>
          <w:rFonts w:ascii="Times New Roman" w:cs="Times New Roman" w:eastAsia="Times New Roman" w:hAnsi="Times New Roman"/>
          <w:i w:val="1"/>
          <w:iCs w:val="1"/>
          <w:rtl w:val="0"/>
        </w:rPr>
        <w:t xml:space="preserve">status quo ante</w:t>
      </w:r>
      <w:r w:rsidDel="00000000" w:rsidR="00000000" w:rsidRPr="00000000">
        <w:rPr>
          <w:rFonts w:ascii="Times New Roman" w:cs="Times New Roman" w:eastAsia="Times New Roman" w:hAnsi="Times New Roman"/>
          <w:rtl w:val="0"/>
        </w:rPr>
        <w:t xml:space="preserve">. Presume-se que a soberania original será totalmente retomada e que a potência ocupante é apenas a detentora temporária da autoridade sobre um território estrangeiro (Aoláin, 2020, p. 339). O Artigo 43 do Regulamento de Haia é um exemplo claro de uma disposição nesse sentido: “tendo a autoridade da potência legítima efetivamente passado para as mãos do ocupante, este tomará todas as medidas ao seu alcance para restabelecer e assegurar, na medida do possível, a ordem pública e a segurança, respeitando, salvo impedimento absoluto, as leis em vigor no país”. Da mesma forma, o Artigo 64(1) da Quarta Convenção de Genebra estabelece que as leis penais do território ocupado permanecerão em vigor, a menos que sejam impedidas por uma ameaça à segurança ou por um impedimento à aplicação da Convenção. Logo, dois princípios precisam ser equilibrados: os legítimos interesses de segurança do ocupante e os interesses da população local. Esse dever precisa ser exercido por meio da aplicação simultânea e complementar do DIH e do direito internacional dos direitos humanos (DIDH) (CIJ, 2005, par. 178–179).</w:t>
      </w:r>
    </w:p>
    <w:p w:rsidR="00000000" w:rsidDel="00000000" w:rsidP="00000000" w:rsidRDefault="00000000" w:rsidRPr="00000000" w14:paraId="0000000D">
      <w:pPr>
        <w:spacing w:line="360" w:lineRule="auto"/>
        <w:ind w:firstLine="708"/>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Não obstante, apesar dos avanços relativos à proteção geral dos civis, o direito de ocupação permanece, em grande parte, omisso quanto aos direitos específicos de mulheres e meninas, nessas circunstâncias. Isso contrasta com a centralidade da proteção da propriedade privada, tradicionalmente pertencente aos homens, conferida pelo Regulamento de Haia (por exemplo, nos termos dos Artigos 46, 53 e 55), conforme disposto pelo Comitê Internacional da Cruz Vermelha (CICV) (2022, p. 23). Historicamente, a realidade das mulheres não se refletiu nas normas e decisões internacionais, uma vez que pressupostos e experiências de vida masculinos eram considerados representativos da totalidade da humanidade (Charlesworth, 2002, p. 96). A “cegueira de gênero” do DIH não se restringe à ocupação, visto que esse corpo jurídico tem sido criticado pelas conotações patriarcais de alguns de seus textos ou por não contemplar adequadamente o impacto das características biológicas e sociais únicas das mulheres em conflitos (Chappell, 2003, p. 6). Nesse sentido, o presente trabalho propõe métodos para se aplicar uma perspectiva sensível ao gênero na implementação do direito de ocupação, com o objetivo de contribuir para preencher essa lacuna de proteção percebida.</w:t>
      </w:r>
    </w:p>
    <w:p w:rsidR="00000000" w:rsidDel="00000000" w:rsidP="00000000" w:rsidRDefault="00000000" w:rsidRPr="00000000" w14:paraId="0000000E">
      <w:pPr>
        <w:spacing w:line="36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F">
      <w:pPr>
        <w:spacing w:line="360" w:lineRule="auto"/>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II - ABORDANDO OS DANOS DE GÊNERO DECORRENTES DA OCUPAÇÃO</w:t>
      </w:r>
    </w:p>
    <w:p w:rsidR="00000000" w:rsidDel="00000000" w:rsidP="00000000" w:rsidRDefault="00000000" w:rsidRPr="00000000" w14:paraId="00000010">
      <w:pPr>
        <w:spacing w:line="360" w:lineRule="auto"/>
        <w:ind w:firstLine="708"/>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Por uma perspectiva histórica, a questão de gênero esteve praticamente ausente das discussões sobre conflitos armados, apesar da onipresença de violações das quais as mulheres são as principais vítimas, como a violência sexual (Aoláin, 2020, p. 336). Foi somente na década de 1990 que, por meio da jurisprudência progressista dos tribunais penais internacionais </w:t>
      </w:r>
      <w:r w:rsidDel="00000000" w:rsidR="00000000" w:rsidRPr="00000000">
        <w:rPr>
          <w:rFonts w:ascii="Times New Roman" w:cs="Times New Roman" w:eastAsia="Times New Roman" w:hAnsi="Times New Roman"/>
          <w:i w:val="1"/>
          <w:iCs w:val="1"/>
          <w:rtl w:val="0"/>
        </w:rPr>
        <w:t xml:space="preserve">ad hoc</w:t>
      </w:r>
      <w:r w:rsidDel="00000000" w:rsidR="00000000" w:rsidRPr="00000000">
        <w:rPr>
          <w:rFonts w:ascii="Times New Roman" w:cs="Times New Roman" w:eastAsia="Times New Roman" w:hAnsi="Times New Roman"/>
          <w:rtl w:val="0"/>
        </w:rPr>
        <w:t xml:space="preserve">, importantes contribuições foram feitas para se ampliar a proteção de mulheres e meninas em conflitos. Por exemplo, a sentença </w:t>
      </w:r>
      <w:r w:rsidDel="00000000" w:rsidR="00000000" w:rsidRPr="00000000">
        <w:rPr>
          <w:rFonts w:ascii="Times New Roman" w:cs="Times New Roman" w:eastAsia="Times New Roman" w:hAnsi="Times New Roman"/>
          <w:i w:val="1"/>
          <w:iCs w:val="1"/>
          <w:rtl w:val="0"/>
        </w:rPr>
        <w:t xml:space="preserve">Akayesu</w:t>
      </w:r>
      <w:r w:rsidDel="00000000" w:rsidR="00000000" w:rsidRPr="00000000">
        <w:rPr>
          <w:rFonts w:ascii="Times New Roman" w:cs="Times New Roman" w:eastAsia="Times New Roman" w:hAnsi="Times New Roman"/>
          <w:rtl w:val="0"/>
        </w:rPr>
        <w:t xml:space="preserve"> do Tribunal Penal Internacional para Ruanda (TPIR) forneceu a primeira definição de estupro no direito internacional (TPIR, 1998, para. 598) e reconheceu, pela primeira vez, que ele poderia constituir um ato de genocídio (TPIR, 1998, par. 73–734). </w:t>
      </w:r>
    </w:p>
    <w:p w:rsidR="00000000" w:rsidDel="00000000" w:rsidP="00000000" w:rsidRDefault="00000000" w:rsidRPr="00000000" w14:paraId="00000011">
      <w:pPr>
        <w:spacing w:line="360" w:lineRule="auto"/>
        <w:ind w:firstLine="708"/>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ocupação não é exceção à negligência das questões de gênero, ainda que a Quarta Convenção de Genebra tenha sido redigida no contexto das consequências da Segunda Guerra Mundial. No período em questão, uma miríade de crimes evidenciou os diferentes impactos da ocupação em civis homens e mulheres, como a prostituição forçada e a escravidão sexual de mulheres coreanas pelas forças japonesas (Longworth, 2015, p. 30). Como sintetizado por Catharine A. MacKinnon, “o que acontece com as mulheres é ou muito particular para ser universal ou muito universal para ser particular, ou seja, ou muito humano para ser feminino ou muito feminino para ser humano” (MacKinnon, 2006, p. 142). Portanto, é necessário implementar o DIH considerando as perspectivas de gênero, mesmo quando as disposições parecem ser neutras e abrangentes, pois ao deixar de reconhecer essas nuances corre-se o risco de negligenciar as vulnerabilidades e experiências femininas, que não são abordadas pela lei.</w:t>
      </w:r>
    </w:p>
    <w:p w:rsidR="00000000" w:rsidDel="00000000" w:rsidP="00000000" w:rsidRDefault="00000000" w:rsidRPr="00000000" w14:paraId="00000012">
      <w:pPr>
        <w:spacing w:line="360" w:lineRule="auto"/>
        <w:ind w:firstLine="708"/>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As normas do DIH que regem a ocupação não refletem satisfatoriamente a complexidade das realidades das mulheres nesses contextos. Fionnuala Ní Aoláin argumenta que essas disposições foram desenvolvidas como “um </w:t>
      </w:r>
      <w:r w:rsidDel="00000000" w:rsidR="00000000" w:rsidRPr="00000000">
        <w:rPr>
          <w:rFonts w:ascii="Times New Roman" w:cs="Times New Roman" w:eastAsia="Times New Roman" w:hAnsi="Times New Roman"/>
          <w:i w:val="1"/>
          <w:iCs w:val="1"/>
          <w:rtl w:val="0"/>
        </w:rPr>
        <w:t xml:space="preserve">quid pro quo</w:t>
      </w:r>
      <w:r w:rsidDel="00000000" w:rsidR="00000000" w:rsidRPr="00000000">
        <w:rPr>
          <w:rFonts w:ascii="Times New Roman" w:cs="Times New Roman" w:eastAsia="Times New Roman" w:hAnsi="Times New Roman"/>
          <w:rtl w:val="0"/>
        </w:rPr>
        <w:t xml:space="preserve"> da influência masculina e uma materialização do patriarcado complementar que funcionava para sustentar o valor simbólico da forma política existente, apesar da perda temporária do controle territorial durante hostilidades militares” (Aoláin, 2020, p. 341). Nesse sentido, o dano de gênero é apenas uma consideração marginal nos textos legais, e os termos muitas vezes não correspondem aos padrões atuais de promoção da igualdade de gênero. </w:t>
      </w:r>
    </w:p>
    <w:p w:rsidR="00000000" w:rsidDel="00000000" w:rsidP="00000000" w:rsidRDefault="00000000" w:rsidRPr="00000000" w14:paraId="00000013">
      <w:pPr>
        <w:spacing w:line="360" w:lineRule="auto"/>
        <w:ind w:firstLine="708"/>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Por exemplo, o Artigo 46 do Regulamento de Haia exige que a potência ocupante respeite a “honra e os direitos familiares” dos habitantes do território. Da mesma forma, o Artigo 27(2) da Quarta Convenção de Genebra afirma que “[a]s mulheres devem ser especialmente protegidas contra qualquer ataque à sua honra, em particular contra estupro, prostituição forçada ou qualquer forma de atentado ao pudor”. Ao focar na honra da mulher, em vez de sua integridade psicológica e física, a redação ignora a natureza violenta dos crimes. Além disso, há de se destacar que o estupro não foi incluído como uma violação grave nas Convenções de Genebra. Implicitamente, a lei se preocupa principalmente com o dano de gênero na medida em que afeta as construções patriarcais de família e honra, e não com as mulheres como titulares individuais de direitos (Aoláin, 2000, p. 66). O fato de a proteção das mulheres contida no Artigo 76 do Protocolo Adicional I fazer parte do Capítulo “Medidas em favor das mulheres e das crianças” também ilustra sua inseparabilidade das crianças.</w:t>
      </w:r>
    </w:p>
    <w:p w:rsidR="00000000" w:rsidDel="00000000" w:rsidP="00000000" w:rsidRDefault="00000000" w:rsidRPr="00000000" w14:paraId="00000014">
      <w:pPr>
        <w:spacing w:line="360" w:lineRule="auto"/>
        <w:ind w:firstLine="708"/>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No entanto, a relativa falta de regulamentações específicas não impede a aplicação de uma perspectiva de gênero ao direito de ocupação. Em particular, o Artigo 27(3) da Quarta Convenção de Genebra prevê o tratamento não discriminatório das pessoas protegidas pelas partes do conflito, “sem qualquer distinção adversa baseada, em particular, em raça, religião ou opinião política”. Embora o texto não mencione gênero, a lista não é exaustiva. Além disso, a igualdade é um aspecto fundamental para salvaguardar o bem-estar da população, que é um dos princípios orientadores da ocupação. Uma abordagem sensível ao gênero é especialmente importante porque a maioria dos comandantes são homens, que têm de decidir sobre medidas que impactam todos os habitantes do território ocupado, dos quais aproximadamente metade são mulheres (Comitê Internacional da Cruz Vermelha, 2022, p. 24). Ao adotar ações legais para promover os seus interesses de segurança ou manter a ordem pública, a potência ocupante deve avaliar os seus variados efeitos nos diferentes grupos, que encontra-se temporariamente sob o seu controle. Assim, a prerrogativa conferida pelos artigos 27(4) e 64(2) da Quarta Convenção de Genebra para implementar as medidas necessárias relativas à administração do território ocupado está sujeita a uma avaliação de não discriminação. Uma aplicação acrítica das normas pode levar à injustiça, como será explorado no trabalho.</w:t>
      </w:r>
    </w:p>
    <w:p w:rsidR="00000000" w:rsidDel="00000000" w:rsidP="00000000" w:rsidRDefault="00000000" w:rsidRPr="00000000" w14:paraId="00000015">
      <w:pPr>
        <w:spacing w:line="360" w:lineRule="auto"/>
        <w:ind w:firstLine="708"/>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É bem documentado que as mulheres e meninas constituem a maioria das vítimas de violência sexual em conflitos armados, incluindo durante a ocupação beligerante (CICV, 2020, p. 11). Elas também são alvos desproporcionais do tráfico de pessoas, o que é motivo de preocupação em um contexto de ordem pública frequentemente instável, em situações de conflito e pós-conflito, conforme ressaltado pela </w:t>
      </w:r>
      <w:r w:rsidDel="00000000" w:rsidR="00000000" w:rsidRPr="00000000">
        <w:rPr>
          <w:rFonts w:ascii="Times New Roman" w:cs="Times New Roman" w:eastAsia="Times New Roman" w:hAnsi="Times New Roman"/>
          <w:rtl w:val="0"/>
        </w:rPr>
        <w:t xml:space="preserve">Convenção sobre a Eliminação de Todas as Formas de Discriminação contra a Mulher (CEDAW) (</w:t>
      </w:r>
      <w:r w:rsidDel="00000000" w:rsidR="00000000" w:rsidRPr="00000000">
        <w:rPr>
          <w:rFonts w:ascii="Times New Roman" w:cs="Times New Roman" w:eastAsia="Times New Roman" w:hAnsi="Times New Roman"/>
          <w:rtl w:val="0"/>
        </w:rPr>
        <w:t xml:space="preserve">CEDAW 2013, p. 10–11). A ocupação torna-as mais vulneráveis ​​à violência direta por parte das forças militares, como nudez forçada, interrogatório coercitivo, assédio sexual durante a detenção e em postos de controle, etc. (Aoláin, 2016, p. 24). O estupro é frequentemente usado como ferramenta política, impulsionado pelo nacionalismo, para infligir humilhação e consolidar o poder sobre o território ocupado: “os corpos das mulheres sempre foram usados ​​pelos conquistadores homens como espólios de guerra, troféus que comprovam que a nação masculina unificada venceu o inimigo” (Agathangelou, 2000, p. 16). Portanto, é essencial que a potência ocupante tome medidas para prevenir e punir tais violações, tendo em vista suas obrigações como administradora temporária do território. Como exemplo, a Comissão Europeia de Direitos Humanos constatou que a Turquia falhou em prevenir e punir estupros sistemáticos cometidos por soldados turcos no Chipre ocupado, o que equivale a “tratamento desumano” imputável ao Estado (Comissão Europeia de Direitos Humanos, 1975, par. 373–374).</w:t>
      </w:r>
    </w:p>
    <w:p w:rsidR="00000000" w:rsidDel="00000000" w:rsidP="00000000" w:rsidRDefault="00000000" w:rsidRPr="00000000" w14:paraId="00000016">
      <w:pPr>
        <w:spacing w:line="360" w:lineRule="auto"/>
        <w:ind w:firstLine="708"/>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Contudo, os danos de gênero sob ocupação vão muito além da violência sexual relacionada a conflitos, apesar da urgência e difusão da questão (Sellers, 2008). Algumas leituras feministas do DIH argumentam que a ênfase excessiva nesse aspecto pode ser redutiva das experiências das mulheres, desconsiderando as violações interseccionais infligidas a elas (Aoláin, 2020, p. 345). As circunstâncias específicas da ocupação devem ser levadas em consideração, bem como sua relação com os papéis de gênero dentro da comunidade afetada. Por exemplo, uma questão crucial para a proteção das mulheres sob ocupação é o respeito aos direitos familiares, garantido pelo Artigo 27(1) da Quarta Convenção de Genebra e pelo Artigo 46 do Regulamento de Haia. Na maioria das sociedades, as mulheres são as principais cuidadoras em seus lares, então o deslocamento, a desapropriação e a separação das famílias são mais prejudiciais a elas. O protagonismo feminino na vida familiar se manifesta do parto à morte, e a ocupação tem efeitos profundos sobre esse papel de gênero e sobre as relações comunitárias. </w:t>
      </w:r>
    </w:p>
    <w:p w:rsidR="00000000" w:rsidDel="00000000" w:rsidP="00000000" w:rsidRDefault="00000000" w:rsidRPr="00000000" w14:paraId="00000017">
      <w:pPr>
        <w:spacing w:line="360" w:lineRule="auto"/>
        <w:ind w:firstLine="708"/>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Por exemplo, muitas mulheres palestinas deram à luz em postos de controle militar em Jerusalém, enquanto buscavam assistência médica, o que, por vezes, levou à morte de recém-nascidos (Shalhoub-Kevorkian, 2015). Assim, a gravidez pode ser usada como instrumento de violência estrutural e controle. Os funerais também são frequentemente rituais de gênero, nos quais homens e mulheres desempenham papéis específicos. Portanto, os desafios para se recuperarem os corpos dos falecidos e realizar os sepultamentos representam um fardo adicional para as mulheres, já que a negação desses direitos pelo poder ocupante impacta a vida familiar e a identidade comunitária (Aoláin, 2016, p. 20). Ademais, viola o respeito pelas convicções e práticas religiosas das pessoas protegidas, consagrado no Artigo 27(1) da Quarta Convenção de Genebra e no Artigo 46 do Regulamento de Haia.</w:t>
      </w:r>
    </w:p>
    <w:p w:rsidR="00000000" w:rsidDel="00000000" w:rsidP="00000000" w:rsidRDefault="00000000" w:rsidRPr="00000000" w14:paraId="00000018">
      <w:pPr>
        <w:spacing w:line="360" w:lineRule="auto"/>
        <w:ind w:firstLine="708"/>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Igualmente relacionados ao papel das mulheres em sociedades patriarcais são: a inviolabilidade do lar e o direito à vida privada. Esses direitos são frequentemente violados durante a ocupação, uma vez que a presença militar pode envolver invasões domiciliares, buscas e prisões que interferem no espaço doméstico e na intimidade física. Mulheres tártaras da Crimeia relataram não terem tido tempo para se cobrir durante invasões domiciliares realizadas pelas autoridades de fato russas, na Crimeia ocupada, e que até mesmo os brinquedos das crianças foram revistados, então elas presumiram que a intenção era intimidação (OSCE, 2016, p. 24). Uma pesquisa de 2016 estimou que cerca de 66.000 invasões noturnas, realizadas pelo exército israelense em residências palestinas, ocorreram na Cisjordânia (excluindo Jerusalém Oriental) desde 1967, uma média de 1.360 por ano (Women’s Centre for Legal Aid and Counselling, 2016). Essas intrusões diminuem a segurança do lar e são frequentemente empregadas como estratégia para induzir o medo. Embora esta questão diga respeito a toda a população civil, o fator de gênero não deve ser negligenciado, uma vez que o lar é o centro da vida das mulheres em sociedades mais tradicionais. Assim, as violações neste contexto têm consequências de grande alcance para as mulheres e suas comunidades, que podem não ser aferidas pelos tomadores de decisão.</w:t>
      </w:r>
    </w:p>
    <w:p w:rsidR="00000000" w:rsidDel="00000000" w:rsidP="00000000" w:rsidRDefault="00000000" w:rsidRPr="00000000" w14:paraId="00000019">
      <w:pPr>
        <w:spacing w:line="360" w:lineRule="auto"/>
        <w:ind w:firstLine="708"/>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Outro aspecto que exige sensibilidade de gênero na implementação da lei da ocupação é que as necessidades de segurança das mulheres nem sempre correspondem às mesmas dos homens. Houve críticas às medidas introduzidas pelos Estados Unidos (EUA) e pelo Reino Unido durante a ocupação do Iraque em 2003-2004, justificadas pelo direito, nos termos do Artigo 43 do Regulamento de Haia e do Artigo 64(2) da Quarta Convenção de Genebra, de se adotarem as disposições necessárias para estabelecer a ordem pública. O processo visava a retirar a influência do partido Baath da estrutura política iraquiana, o que levou ao colapso de muitas funções estatais e à instabilidade devido à remoção de funcionários públicos e agentes públicos de seus cargos (Longworth, 2015, p. 32–33). Há de se considerar que as mulheres foram especialmente prejudicadas por essas ações, uma vez que as potências ocupantes não avaliaram adequadamente suas necessidades específicas de segurança, tornando-as mais suscetíveis à violência e à pobreza, durante e após a ocupação. A diminuição de empregos públicos fez com que as mulheres perdessem benefícios que permitiam maior igualdade de gênero, como creches no local de trabalho, e, devido às suas obrigações domésticas, foram mais afetadas pela interrupção de serviços básicos, como o fornecimento de eletricidade (Pratt, 2005, p. 13–14). A falta de uma força policial eficaz também as fez temer sair de casa, em razão do aumento do risco de ataques, com muitos relatos de casos envolvendo gangues que sequestravam, estupravam, traficavam e matavam mulheres (Pratt, 2005, p. 14–15).</w:t>
      </w:r>
    </w:p>
    <w:p w:rsidR="00000000" w:rsidDel="00000000" w:rsidP="00000000" w:rsidRDefault="00000000" w:rsidRPr="00000000" w14:paraId="0000001A">
      <w:pPr>
        <w:spacing w:line="360" w:lineRule="auto"/>
        <w:ind w:firstLine="708"/>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Em suma, uma perspectiva de gênero é crucial para a implementação não discriminatória do direito de ocupação e para a avaliação de violações. As disposições do DIH muitas vezes carregam conotações patriarcais e não abordam de forma abrangente as realidades das mulheres em conflito. Ignorar essas nuances infringe a responsabilidade da potência ocupante, de manter a ordem pública no território e garantir o bem-estar da população sob seu controle. Portanto, uma leitura que examine os danos de gênero decorrentes da ocupação deve fazer parte dos mecanismos de regulação, supervisão e responsabilização, a fim de evitar consequências indesejadas e a criação de vulnerabilidades, que podem inclusive afetar os interesses da potência ocupante. Esse processo deve ser realizado em conjunto com a aplicação extraterritorial dos deveres de DIDH das autoridades de fato.</w:t>
      </w:r>
    </w:p>
    <w:p w:rsidR="00000000" w:rsidDel="00000000" w:rsidP="00000000" w:rsidRDefault="00000000" w:rsidRPr="00000000" w14:paraId="0000001B">
      <w:pPr>
        <w:spacing w:line="36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C">
      <w:pPr>
        <w:spacing w:line="360" w:lineRule="auto"/>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III - A PROMOÇÃO DA IGUALDADE DE GÊNERO EM SITUAÇÕES DE OCUPAÇÃO PROLONGADA</w:t>
      </w:r>
    </w:p>
    <w:p w:rsidR="00000000" w:rsidDel="00000000" w:rsidP="00000000" w:rsidRDefault="00000000" w:rsidRPr="00000000" w14:paraId="0000001D">
      <w:pPr>
        <w:spacing w:line="360" w:lineRule="auto"/>
        <w:ind w:firstLine="708"/>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 arcabouço jurídico que rege a ocupação foi originalmente concebido para regular situações de curto prazo. Nesse sentido, o Artigo 43 do Regulamento de Haia e o Artigo 64 da Quarta Convenção de Genebra permitem que a potência ocupante promulgue, suspenda e revogue leis, considerando as necessidades imediatas para cumprir seus deveres como administrador temporário, com o objetivo de restaurar integralmente a soberania da autoridade original, não adquirindo quaisquer poderes soberanos sobre o território ocupado (Ferraro, 2020, p. 67). Portanto, é geralmente aceito que os princípios do direito de ocupação impedem a potência ocupante de implementar mudanças institucionais definitivas e abrangentes, visto que a justificativa é que a situação deve ser temporária (Ferraro, 2020, p. 67). Essa noção está em consonância com a autodeterminação dos povos que habitam o território, refletindo a rejeição inequívoca da aquisição territorial por anexação, de acordo com o direito internacional contemporâneo. Não obstante, diversas ocupações recentes desde a Segunda Guerra Mundial envolvem uma presença beligerante prolongada. Por exemplo, é amplamente aceito entre os Estados e acadêmicos que Israel ocupa os territórios palestinos da Cisjordânia, Jerusalém Oriental e Faixa de Gaza desde 1967 (Azarova, 2017, p. 6). Outros casos incluem a ocupação do norte do Chipre pela Turquia desde 1974, a do Saara Ocidental pelo Marrocos desde 1975, entre outros casos (Roberts, 1990, p. 50–51).</w:t>
      </w:r>
    </w:p>
    <w:p w:rsidR="00000000" w:rsidDel="00000000" w:rsidP="00000000" w:rsidRDefault="00000000" w:rsidRPr="00000000" w14:paraId="0000001E">
      <w:pPr>
        <w:spacing w:line="360" w:lineRule="auto"/>
        <w:ind w:firstLine="708"/>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Outrossim, a lei é silenciosa sobre se e quando um Estado se torna um ocupante ilegal, devido à sua presença prolongada. Ainda, embora algumas teorias proponham que, de acordo com os princípios gerais do direito internacional e uma leitura teleológica dos principais instrumentos do DIH, tal conclusão pode ser derivada se o Estado estiver agindo de má-fé e frustrando a natureza excepcional da ocupação (Lynk, 2018). De qualquer modo, as ocupações prolongadas são um fato, e o direito de ocupação permanece aplicável independentemente de sua legitimidade (Roberts, 1990, p. 54), de modo que representam desafios específicos para a promoção do bem-estar da população civil, incluindo a igualdade de gênero. Surge, portanto, a controvérsia quanto à extensão em que a transformação é permitida nessas circunstâncias. Apesar da ausência de uma proibição geral de adoção de mudanças no território ocupado, há amplo consenso entre acadêmicos de que o </w:t>
      </w:r>
      <w:r w:rsidDel="00000000" w:rsidR="00000000" w:rsidRPr="00000000">
        <w:rPr>
          <w:rFonts w:ascii="Times New Roman" w:cs="Times New Roman" w:eastAsia="Times New Roman" w:hAnsi="Times New Roman"/>
          <w:i w:val="1"/>
          <w:iCs w:val="1"/>
          <w:rtl w:val="0"/>
        </w:rPr>
        <w:t xml:space="preserve">status</w:t>
      </w:r>
      <w:r w:rsidDel="00000000" w:rsidR="00000000" w:rsidRPr="00000000">
        <w:rPr>
          <w:rFonts w:ascii="Times New Roman" w:cs="Times New Roman" w:eastAsia="Times New Roman" w:hAnsi="Times New Roman"/>
          <w:rtl w:val="0"/>
        </w:rPr>
        <w:t xml:space="preserve"> prolongado não fornece justificativa legal para transformações, além do que é permitido pelo direito de ocupação (Ferraro, 2020, p. 70). Portanto, alguns parâmetros são necessários para esclarecer as condições sob as quais tais medidas podem ser tomadas, como será examinado. </w:t>
      </w:r>
    </w:p>
    <w:p w:rsidR="00000000" w:rsidDel="00000000" w:rsidP="00000000" w:rsidRDefault="00000000" w:rsidRPr="00000000" w14:paraId="0000001F">
      <w:pPr>
        <w:spacing w:line="360" w:lineRule="auto"/>
        <w:ind w:firstLine="708"/>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As mulheres que vivem em territórios sob ocupações prolongadas geralmente enfrentam danos e marginalização de gênero amplificados, já que uma interseção de fatores de opressão impacta suas vidas. Por exemplo, na Palestina, elas são vítimas de violência direta e indireta decorrente tanto dos valores e normas patriarcais de sua sociedade, quanto da ocupação israelense. As mulheres palestinas sofrem com altos índices de violência doméstica, assassinatos por “honra”, feminicídios, bem como práticas culturais nocivas, como o casamento infantil (CDH, 2017). Elas também são vitimadas pela ocupação, incluindo violações de direitos humanos e violência sexual e de gênero, cometidas por agentes israelenses e sofrem seus efeitos indiretos relacionados ao gênero, como os impactos econômicos desproporcionais sobre mulheres e meninas, a negação da reunificação familiar, as restrições à liberdade de movimento e os despejos forçados (MIFTAH </w:t>
      </w:r>
      <w:r w:rsidDel="00000000" w:rsidR="00000000" w:rsidRPr="00000000">
        <w:rPr>
          <w:rFonts w:ascii="Times New Roman" w:cs="Times New Roman" w:eastAsia="Times New Roman" w:hAnsi="Times New Roman"/>
          <w:i w:val="1"/>
          <w:iCs w:val="1"/>
          <w:rtl w:val="0"/>
        </w:rPr>
        <w:t xml:space="preserve">et al</w:t>
      </w:r>
      <w:r w:rsidDel="00000000" w:rsidR="00000000" w:rsidRPr="00000000">
        <w:rPr>
          <w:rFonts w:ascii="Times New Roman" w:cs="Times New Roman" w:eastAsia="Times New Roman" w:hAnsi="Times New Roman"/>
          <w:rtl w:val="0"/>
        </w:rPr>
        <w:t xml:space="preserve">., 2018, p. 13–14). A esfera privada é amplamente excluída da estrutura regulatória da ocupação, o que é mais um indício da negligência da lei em relação às complexidades de gênero. Fionnuala Ní Aoláin se refere a essa dinâmica como “patriarcados complementares”, nos quais a potência ocupante se submete às violações locais contra as mulheres, “permitindo efetivamente que o equilíbrio social seja mantido entre as ordens masculinas” (Aoláin, 2016, p. 25).</w:t>
      </w:r>
    </w:p>
    <w:p w:rsidR="00000000" w:rsidDel="00000000" w:rsidP="00000000" w:rsidRDefault="00000000" w:rsidRPr="00000000" w14:paraId="00000020">
      <w:pPr>
        <w:spacing w:line="360" w:lineRule="auto"/>
        <w:ind w:firstLine="708"/>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Considera-se que, de fato, existe o risco de uma ocupação prolongada congelar o avanço dos direitos das mulheres. O princípio conservacionista pode levar a situações em que normas obsoletas se calcificam, especialmente quanto a questões que não afetam diretamente os interesses de segurança da potência ocupante, uma vez que o </w:t>
      </w:r>
      <w:r w:rsidDel="00000000" w:rsidR="00000000" w:rsidRPr="00000000">
        <w:rPr>
          <w:rFonts w:ascii="Times New Roman" w:cs="Times New Roman" w:eastAsia="Times New Roman" w:hAnsi="Times New Roman"/>
          <w:i w:val="1"/>
          <w:iCs w:val="1"/>
          <w:rtl w:val="0"/>
        </w:rPr>
        <w:t xml:space="preserve">status quo ante</w:t>
      </w:r>
      <w:r w:rsidDel="00000000" w:rsidR="00000000" w:rsidRPr="00000000">
        <w:rPr>
          <w:rFonts w:ascii="Times New Roman" w:cs="Times New Roman" w:eastAsia="Times New Roman" w:hAnsi="Times New Roman"/>
          <w:rtl w:val="0"/>
        </w:rPr>
        <w:t xml:space="preserve"> pode incluir práticas legalizadas como a mutilação genital feminina, o casamento infantil e leis discriminatórias. Por outro lado, uma preocupação fundamental é a instrumentalização da proteção dos direitos das mulheres para justificar a própria ocupação. Essa retórica foi promovida por Estados ocidentais em conflitos como o Iraque e o Afeganistão e foi corretamente criticada por suas conotações neocoloniais (Berry, 2003). Ela também pode ter consequências não intencionais, aumentando, ao contrário, a vulnerabilidade da população. Na verdade, a lógica por trás do direito de ocupação não é permitir mudanças de acordo com a vontade de atores estrangeiros, mas sim conferir alguma flexibilidade para se administrar o território de forma eficaz, preservando suas estruturas institucionais e protegendo o bem-estar dos habitantes, com vistas à eventual retomada da soberania original. Atualmente, a única base legal para a busca de objetivos transformadores reside nas resoluções do Conselho de Segurança das Nações Unidas (Ferraro, 2020, p. 71). Portanto, a prerrogativa de implementar medidas nunca deve ser entendida como carta branca para a potência ocupante realizar reformas abrangentes unilateralmente.</w:t>
      </w:r>
    </w:p>
    <w:p w:rsidR="00000000" w:rsidDel="00000000" w:rsidP="00000000" w:rsidRDefault="00000000" w:rsidRPr="00000000" w14:paraId="00000021">
      <w:pPr>
        <w:spacing w:line="360" w:lineRule="auto"/>
        <w:ind w:firstLine="708"/>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Atender às necessidades das mulheres sob ocupação prolongada faz parte das obrigações da autoridade, nos termos do Artigo 43 do Regulamento de Haia e do Artigo 64 da Quarta Convenção de Genebra. Quando lidas em conjunto com o Artigo 27(3) da Quarta Convenção de Genebra, que se refere ao tratamento não discriminatório de pessoas protegidas, essas disposições devem ser implementadas considerando os impactos de gênero. A estagnação seria prejudicial para a população civil, cujas necessidades, em constante mudança, devem ser atendidas pelas autoridades de fato, com o passar do tempo. Ocupações de curto prazo exigem um nível mais rigoroso de manutenção, mas uma presença militar sustentada pode permitir o enfraquecimento do princípio conservacionista (Ferraro, 2020, p. 72). Uma distinção relevante pode ser feita, na medida em que adaptação não equivale a transformação: a primeira é uma resposta evolutiva às necessidades prementes da população civil de acordo com novas circunstâncias, enquanto a segunda envolve a remodelação de estruturas institucionais, uma possibilidade não reconhecida pelo DIH (Ferraro, 2020, p. 73). Portanto, a potência ocupante tem a responsabilidade de adotar medidas que garantam o bem-estar de todos os habitantes, e a promoção da igualdade de gênero é um componente essencial nesse sentido.</w:t>
      </w:r>
    </w:p>
    <w:p w:rsidR="00000000" w:rsidDel="00000000" w:rsidP="00000000" w:rsidRDefault="00000000" w:rsidRPr="00000000" w14:paraId="00000022">
      <w:pPr>
        <w:spacing w:line="360" w:lineRule="auto"/>
        <w:ind w:firstLine="708"/>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questão da ocupação transformadora não está resolvida na doutrina ou na prática (CICV, 2022, p. 28). No entanto, alguns fatores podem ajudar a determinar a legalidade das mudanças adotadas sob ocupação. Em primeiro lugar, é necessário considerar os efeitos da inação e se a potência ocupante tem o dever legal ou a discricionariedade de lidar com os danos de gênero. O Artigo 43 do Regulamento de Haia afirma que o ocupante “deve tomar todas as medidas ao seu alcance para restaurar e garantir, na medida do possível, a ordem e a segurança públicas”, uma formulação que infere um dever de agir. O Artigo 64 da Quarta Convenção de Genebra postula que a potência ocupante “pode” adotar as medidas necessárias, indicando que se trata de uma discricionariedade, mas pode constituir um dever quando outras disposições da Convenção são consideradas, como a não discriminação (CICV, 2022, p. 29). Portanto, quando o dano é grave o suficiente para constituir uma ameaça à ordem pública, como lacunas na legislação contra o estupro e o tráfico de pessoas, os limites impostos pela preservação não podem ser invocados de má-fé para justificar a inação, uma vez que a potência ocupante é responsável por garantir as necessidades e a segurança da população.</w:t>
      </w:r>
    </w:p>
    <w:p w:rsidR="00000000" w:rsidDel="00000000" w:rsidP="00000000" w:rsidRDefault="00000000" w:rsidRPr="00000000" w14:paraId="00000023">
      <w:pPr>
        <w:spacing w:line="360" w:lineRule="auto"/>
        <w:ind w:firstLine="708"/>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Outro fator relevante é o papel complementar desempenhado pelo DIDH em relação ao DIH. É amplamente reconhecido que ambos os ramos do direito internacional são aplicáveis ​​a conflitos armados de forma concomitante e extraterritorial, conforme defendido pela CIJ (CIJ, 2005, para. 173; CIJ, 2004, para. 78) e corroborado por vasta literatura e pela prática dos Estados (Lubell, 2012, p. 318–319). Frente à vagueza geral do direito de ocupação, particularmente no que diz respeito a ocupações prolongadas, o DIDH fornece direcionamentos importantes. Pode-se argumentar que a Convenção sobre a Eliminação de Todas as Formas de Discriminação contra a Mulher é a </w:t>
      </w:r>
      <w:r w:rsidDel="00000000" w:rsidR="00000000" w:rsidRPr="00000000">
        <w:rPr>
          <w:rFonts w:ascii="Times New Roman" w:cs="Times New Roman" w:eastAsia="Times New Roman" w:hAnsi="Times New Roman"/>
          <w:i w:val="1"/>
          <w:iCs w:val="1"/>
          <w:rtl w:val="0"/>
        </w:rPr>
        <w:t xml:space="preserve">lex specialis</w:t>
      </w:r>
      <w:r w:rsidDel="00000000" w:rsidR="00000000" w:rsidRPr="00000000">
        <w:rPr>
          <w:rFonts w:ascii="Times New Roman" w:cs="Times New Roman" w:eastAsia="Times New Roman" w:hAnsi="Times New Roman"/>
          <w:rtl w:val="0"/>
        </w:rPr>
        <w:t xml:space="preserve"> para avaliar os danos de gênero em ocupações prolongadas (CICV, 2022, p. 29). Além disso, a participação de mulheres civis e organizações da sociedade civil na tomada de decisões é crucial para evitar interferências indevidas e abordagens neocoloniais (CICV, 2022, p. 30–31).</w:t>
      </w:r>
    </w:p>
    <w:p w:rsidR="00000000" w:rsidDel="00000000" w:rsidP="00000000" w:rsidRDefault="00000000" w:rsidRPr="00000000" w14:paraId="00000024">
      <w:pPr>
        <w:spacing w:line="36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5">
      <w:pPr>
        <w:spacing w:line="360" w:lineRule="auto"/>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IV - CONSIDERAÇÕES FINAIS</w:t>
      </w:r>
    </w:p>
    <w:p w:rsidR="00000000" w:rsidDel="00000000" w:rsidP="00000000" w:rsidRDefault="00000000" w:rsidRPr="00000000" w14:paraId="00000026">
      <w:pPr>
        <w:spacing w:line="360" w:lineRule="auto"/>
        <w:ind w:left="0"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Observa-se, portanto, que as experiências das mulheres sob ocupação beligerante permanecem pouco regulamentadas pelo DIH. Suas características sociais e biológicas únicas não são adequadamente consideradas pelo arcabouço jurídico. Essa falta de nuances reflete o contexto altamente masculino e patriarcal em que as normas foram construídas, de modo que uma aplicação igualitária da lei exige uma abordagem interseccional, que desafie a aparente neutralidade do texto. Este trabalho abordou essas lacunas e defende que elas não impedem a adoção de uma perspectiva sensível ao gênero, apesar da vagueza de muitos conceitos e restrições, como a duração da ocupação.</w:t>
      </w:r>
    </w:p>
    <w:p w:rsidR="00000000" w:rsidDel="00000000" w:rsidP="00000000" w:rsidRDefault="00000000" w:rsidRPr="00000000" w14:paraId="00000027">
      <w:pPr>
        <w:spacing w:line="360" w:lineRule="auto"/>
        <w:ind w:firstLine="708"/>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 dano de gênero mais comumente discutido no direito internacional humanitário é a violência sexual relacionada a conflitos, mas a violência e a discriminação contra as mulheres assumem muitas formas, desde a violência direta por parte das potências ocupantes, como assédio sexual, detenção e invasões domiciliares, até danos mais indiretos que impactam mulheres e meninas de forma desproporcional, como separação familiar e mudanças socioeconômicas. A implementação de medidas sob ocupação deve avaliar esses efeitos distintos, considerando que as necessidades de segurança das mulheres nem sempre equivalem às mesmas dos homens, especialmente em vista de problemas que podem aumentar nos períodos durante e após o conflito, como o tráfico de pessoas e os assassinatos por “honra”. </w:t>
      </w:r>
    </w:p>
    <w:p w:rsidR="00000000" w:rsidDel="00000000" w:rsidP="00000000" w:rsidRDefault="00000000" w:rsidRPr="00000000" w14:paraId="00000028">
      <w:pPr>
        <w:spacing w:line="360" w:lineRule="auto"/>
        <w:ind w:firstLine="708"/>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ocupação prolongada apresenta desafios específicos, uma vez que a fusão de duas forças patriarcais (a potência ocupante e a estrutura local) pode levar a restrições aos direitos das mulheres, e o DIH é em grande parte omisso quanto à regulamentação da esfera privada, onde ocorrem violações como violência doméstica e casamento forçado. Contudo, considera-se que é possível alcançar um equilíbrio entre o princípio conservacionista, que exige a preservação do </w:t>
      </w:r>
      <w:r w:rsidDel="00000000" w:rsidR="00000000" w:rsidRPr="00000000">
        <w:rPr>
          <w:rFonts w:ascii="Times New Roman" w:cs="Times New Roman" w:eastAsia="Times New Roman" w:hAnsi="Times New Roman"/>
          <w:i w:val="1"/>
          <w:iCs w:val="1"/>
          <w:rtl w:val="0"/>
        </w:rPr>
        <w:t xml:space="preserve">status quo</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i w:val="1"/>
          <w:iCs w:val="1"/>
          <w:rtl w:val="0"/>
        </w:rPr>
        <w:t xml:space="preserve">ante</w:t>
      </w:r>
      <w:r w:rsidDel="00000000" w:rsidR="00000000" w:rsidRPr="00000000">
        <w:rPr>
          <w:rFonts w:ascii="Times New Roman" w:cs="Times New Roman" w:eastAsia="Times New Roman" w:hAnsi="Times New Roman"/>
          <w:rtl w:val="0"/>
        </w:rPr>
        <w:t xml:space="preserve"> na medida do possível, e a necessidade de se adotarem medidas que protejam o bem-estar da população a longo prazo. Isso pode ser obtido avaliando se a gravidade da situação atinge o limiar de uma questão de segurança pública e por meio da aplicação complementar do DIDH. A inclusão dos civis na tomada de decisões também é um fator crucial, a fim de respeitar sua autodeterminação e evitar interferências indevidas.</w:t>
      </w:r>
    </w:p>
    <w:p w:rsidR="00000000" w:rsidDel="00000000" w:rsidP="00000000" w:rsidRDefault="00000000" w:rsidRPr="00000000" w14:paraId="00000029">
      <w:pPr>
        <w:spacing w:line="36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A">
      <w:pPr>
        <w:spacing w:line="360" w:lineRule="auto"/>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REFERÊNCIAS</w:t>
      </w:r>
    </w:p>
    <w:p w:rsidR="00000000" w:rsidDel="00000000" w:rsidP="00000000" w:rsidRDefault="00000000" w:rsidRPr="00000000" w14:paraId="0000002B">
      <w:pPr>
        <w:spacing w:line="36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AGATHANGELOU, Anna M. Nationalist Narratives and (Dis)appearing Women: State Sanctioned Sexual Violence. </w:t>
      </w:r>
      <w:r w:rsidDel="00000000" w:rsidR="00000000" w:rsidRPr="00000000">
        <w:rPr>
          <w:rFonts w:ascii="Times New Roman" w:cs="Times New Roman" w:eastAsia="Times New Roman" w:hAnsi="Times New Roman"/>
          <w:i w:val="1"/>
          <w:iCs w:val="1"/>
          <w:rtl w:val="0"/>
        </w:rPr>
        <w:t xml:space="preserve">Canadian Woman Studies / Les Cahiers de la Femme</w:t>
      </w:r>
      <w:r w:rsidDel="00000000" w:rsidR="00000000" w:rsidRPr="00000000">
        <w:rPr>
          <w:rFonts w:ascii="Times New Roman" w:cs="Times New Roman" w:eastAsia="Times New Roman" w:hAnsi="Times New Roman"/>
          <w:rtl w:val="0"/>
        </w:rPr>
        <w:t xml:space="preserve">, Toronto, v. 19, n. 4, p. 12–21, 2000.</w:t>
      </w:r>
    </w:p>
    <w:p w:rsidR="00000000" w:rsidDel="00000000" w:rsidP="00000000" w:rsidRDefault="00000000" w:rsidRPr="00000000" w14:paraId="0000002C">
      <w:pPr>
        <w:spacing w:line="36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AOLÁIN, Fionnuala Ní. </w:t>
      </w:r>
      <w:r w:rsidDel="00000000" w:rsidR="00000000" w:rsidRPr="00000000">
        <w:rPr>
          <w:rFonts w:ascii="Times New Roman" w:cs="Times New Roman" w:eastAsia="Times New Roman" w:hAnsi="Times New Roman"/>
          <w:i w:val="1"/>
          <w:iCs w:val="1"/>
          <w:rtl w:val="0"/>
        </w:rPr>
        <w:t xml:space="preserve">Gendering the Law of Occupation</w:t>
      </w:r>
      <w:r w:rsidDel="00000000" w:rsidR="00000000" w:rsidRPr="00000000">
        <w:rPr>
          <w:rFonts w:ascii="Times New Roman" w:cs="Times New Roman" w:eastAsia="Times New Roman" w:hAnsi="Times New Roman"/>
          <w:rtl w:val="0"/>
        </w:rPr>
        <w:t xml:space="preserve">. Political Settlements Working Papers, Edimburgo: University of Edinburgh, 2016. (Working Paper 5)</w:t>
      </w:r>
    </w:p>
    <w:p w:rsidR="00000000" w:rsidDel="00000000" w:rsidP="00000000" w:rsidRDefault="00000000" w:rsidRPr="00000000" w14:paraId="0000002D">
      <w:pPr>
        <w:spacing w:line="360" w:lineRule="auto"/>
        <w:jc w:val="both"/>
        <w:rPr>
          <w:rFonts w:ascii="Times New Roman" w:cs="Times New Roman" w:eastAsia="Times New Roman" w:hAnsi="Times New Roman"/>
        </w:rPr>
      </w:pPr>
      <w:r w:rsidDel="00000000" w:rsidR="00000000" w:rsidRPr="00000000">
        <w:rPr>
          <w:rtl w:val="0"/>
        </w:rPr>
        <w:t xml:space="preserve">__________. </w:t>
      </w:r>
      <w:r w:rsidDel="00000000" w:rsidR="00000000" w:rsidRPr="00000000">
        <w:rPr>
          <w:rFonts w:ascii="Times New Roman" w:cs="Times New Roman" w:eastAsia="Times New Roman" w:hAnsi="Times New Roman"/>
          <w:rtl w:val="0"/>
        </w:rPr>
        <w:t xml:space="preserve">Sex-Based Violence and the Holocaust – A Reevaluation of Harms and Rights in International Law. </w:t>
      </w:r>
      <w:r w:rsidDel="00000000" w:rsidR="00000000" w:rsidRPr="00000000">
        <w:rPr>
          <w:rFonts w:ascii="Times New Roman" w:cs="Times New Roman" w:eastAsia="Times New Roman" w:hAnsi="Times New Roman"/>
          <w:i w:val="1"/>
          <w:iCs w:val="1"/>
          <w:rtl w:val="0"/>
        </w:rPr>
        <w:t xml:space="preserve">Yale Journal of Law &amp; Feminism</w:t>
      </w:r>
      <w:r w:rsidDel="00000000" w:rsidR="00000000" w:rsidRPr="00000000">
        <w:rPr>
          <w:rFonts w:ascii="Times New Roman" w:cs="Times New Roman" w:eastAsia="Times New Roman" w:hAnsi="Times New Roman"/>
          <w:rtl w:val="0"/>
        </w:rPr>
        <w:t xml:space="preserve">, New Haven, v. 12, n. 1, p. 43–84, 2000.</w:t>
      </w:r>
    </w:p>
    <w:p w:rsidR="00000000" w:rsidDel="00000000" w:rsidP="00000000" w:rsidRDefault="00000000" w:rsidRPr="00000000" w14:paraId="0000002E">
      <w:pPr>
        <w:spacing w:line="360" w:lineRule="auto"/>
        <w:jc w:val="both"/>
        <w:rPr>
          <w:rFonts w:ascii="Times New Roman" w:cs="Times New Roman" w:eastAsia="Times New Roman" w:hAnsi="Times New Roman"/>
        </w:rPr>
      </w:pPr>
      <w:r w:rsidDel="00000000" w:rsidR="00000000" w:rsidRPr="00000000">
        <w:rPr>
          <w:rtl w:val="0"/>
        </w:rPr>
        <w:t xml:space="preserve">__________. </w:t>
      </w:r>
      <w:r w:rsidDel="00000000" w:rsidR="00000000" w:rsidRPr="00000000">
        <w:rPr>
          <w:rFonts w:ascii="Times New Roman" w:cs="Times New Roman" w:eastAsia="Times New Roman" w:hAnsi="Times New Roman"/>
          <w:rtl w:val="0"/>
        </w:rPr>
        <w:t xml:space="preserve">The Gender of Occupation. </w:t>
      </w:r>
      <w:r w:rsidDel="00000000" w:rsidR="00000000" w:rsidRPr="00000000">
        <w:rPr>
          <w:rFonts w:ascii="Times New Roman" w:cs="Times New Roman" w:eastAsia="Times New Roman" w:hAnsi="Times New Roman"/>
          <w:i w:val="1"/>
          <w:iCs w:val="1"/>
          <w:rtl w:val="0"/>
        </w:rPr>
        <w:t xml:space="preserve">Yale Journal of International Law</w:t>
      </w:r>
      <w:r w:rsidDel="00000000" w:rsidR="00000000" w:rsidRPr="00000000">
        <w:rPr>
          <w:rFonts w:ascii="Times New Roman" w:cs="Times New Roman" w:eastAsia="Times New Roman" w:hAnsi="Times New Roman"/>
          <w:rtl w:val="0"/>
        </w:rPr>
        <w:t xml:space="preserve">, New Haven, v. 45, n. 2, p. 335–375, 2020.</w:t>
      </w:r>
    </w:p>
    <w:p w:rsidR="00000000" w:rsidDel="00000000" w:rsidP="00000000" w:rsidRDefault="00000000" w:rsidRPr="00000000" w14:paraId="0000002F">
      <w:pPr>
        <w:spacing w:line="36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ASSEMBLEIA GERAL DA ONU. </w:t>
      </w:r>
      <w:r w:rsidDel="00000000" w:rsidR="00000000" w:rsidRPr="00000000">
        <w:rPr>
          <w:rFonts w:ascii="Times New Roman" w:cs="Times New Roman" w:eastAsia="Times New Roman" w:hAnsi="Times New Roman"/>
          <w:i w:val="1"/>
          <w:iCs w:val="1"/>
          <w:rtl w:val="0"/>
        </w:rPr>
        <w:t xml:space="preserve">Resolução 2625 (XXV)</w:t>
      </w:r>
      <w:r w:rsidDel="00000000" w:rsidR="00000000" w:rsidRPr="00000000">
        <w:rPr>
          <w:rFonts w:ascii="Times New Roman" w:cs="Times New Roman" w:eastAsia="Times New Roman" w:hAnsi="Times New Roman"/>
          <w:rtl w:val="0"/>
        </w:rPr>
        <w:t xml:space="preserve">, anexo. Nova York: ONU, 24 out. 1970.</w:t>
      </w:r>
    </w:p>
    <w:p w:rsidR="00000000" w:rsidDel="00000000" w:rsidP="00000000" w:rsidRDefault="00000000" w:rsidRPr="00000000" w14:paraId="00000030">
      <w:pPr>
        <w:spacing w:line="36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AZAROVA, Valentina. </w:t>
      </w:r>
      <w:r w:rsidDel="00000000" w:rsidR="00000000" w:rsidRPr="00000000">
        <w:rPr>
          <w:rFonts w:ascii="Times New Roman" w:cs="Times New Roman" w:eastAsia="Times New Roman" w:hAnsi="Times New Roman"/>
          <w:i w:val="1"/>
          <w:iCs w:val="1"/>
          <w:rtl w:val="0"/>
        </w:rPr>
        <w:t xml:space="preserve">Israel’s Unlawfully Prolonged Occupation: Consequences Under an Integrated Legal Framework</w:t>
      </w:r>
      <w:r w:rsidDel="00000000" w:rsidR="00000000" w:rsidRPr="00000000">
        <w:rPr>
          <w:rFonts w:ascii="Times New Roman" w:cs="Times New Roman" w:eastAsia="Times New Roman" w:hAnsi="Times New Roman"/>
          <w:rtl w:val="0"/>
        </w:rPr>
        <w:t xml:space="preserve">. Berlim: European Council on Foreign Relations, 2017.</w:t>
      </w:r>
    </w:p>
    <w:p w:rsidR="00000000" w:rsidDel="00000000" w:rsidP="00000000" w:rsidRDefault="00000000" w:rsidRPr="00000000" w14:paraId="00000031">
      <w:pPr>
        <w:spacing w:line="36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BERRY, Kim. The Symbolic Use of Afghan Women in the War on Terror. </w:t>
      </w:r>
      <w:r w:rsidDel="00000000" w:rsidR="00000000" w:rsidRPr="00000000">
        <w:rPr>
          <w:rFonts w:ascii="Times New Roman" w:cs="Times New Roman" w:eastAsia="Times New Roman" w:hAnsi="Times New Roman"/>
          <w:i w:val="1"/>
          <w:iCs w:val="1"/>
          <w:rtl w:val="0"/>
        </w:rPr>
        <w:t xml:space="preserve">Humboldt Journal of Social Relations</w:t>
      </w:r>
      <w:r w:rsidDel="00000000" w:rsidR="00000000" w:rsidRPr="00000000">
        <w:rPr>
          <w:rFonts w:ascii="Times New Roman" w:cs="Times New Roman" w:eastAsia="Times New Roman" w:hAnsi="Times New Roman"/>
          <w:rtl w:val="0"/>
        </w:rPr>
        <w:t xml:space="preserve">, Arcata, v. 37, n. 2, p. 137–160, 2003.</w:t>
      </w:r>
    </w:p>
    <w:p w:rsidR="00000000" w:rsidDel="00000000" w:rsidP="00000000" w:rsidRDefault="00000000" w:rsidRPr="00000000" w14:paraId="00000032">
      <w:pPr>
        <w:spacing w:line="36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CHARLESWORTH, Hilary. The Hidden Gender of International Law. </w:t>
      </w:r>
      <w:r w:rsidDel="00000000" w:rsidR="00000000" w:rsidRPr="00000000">
        <w:rPr>
          <w:rFonts w:ascii="Times New Roman" w:cs="Times New Roman" w:eastAsia="Times New Roman" w:hAnsi="Times New Roman"/>
          <w:i w:val="1"/>
          <w:iCs w:val="1"/>
          <w:rtl w:val="0"/>
        </w:rPr>
        <w:t xml:space="preserve">Temple International &amp; Comparative Law Journal</w:t>
      </w:r>
      <w:r w:rsidDel="00000000" w:rsidR="00000000" w:rsidRPr="00000000">
        <w:rPr>
          <w:rFonts w:ascii="Times New Roman" w:cs="Times New Roman" w:eastAsia="Times New Roman" w:hAnsi="Times New Roman"/>
          <w:rtl w:val="0"/>
        </w:rPr>
        <w:t xml:space="preserve">, Filadélfia, v. 16, n. 1, p. 93–102, 2002.</w:t>
      </w:r>
    </w:p>
    <w:p w:rsidR="00000000" w:rsidDel="00000000" w:rsidP="00000000" w:rsidRDefault="00000000" w:rsidRPr="00000000" w14:paraId="00000033">
      <w:pPr>
        <w:spacing w:line="36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CHAPPELL, Louise. Women, Gender and International Institutions: Exploring New Opportunities at the International Criminal Court. </w:t>
      </w:r>
      <w:r w:rsidDel="00000000" w:rsidR="00000000" w:rsidRPr="00000000">
        <w:rPr>
          <w:rFonts w:ascii="Times New Roman" w:cs="Times New Roman" w:eastAsia="Times New Roman" w:hAnsi="Times New Roman"/>
          <w:i w:val="1"/>
          <w:iCs w:val="1"/>
          <w:rtl w:val="0"/>
        </w:rPr>
        <w:t xml:space="preserve">Policy and Society</w:t>
      </w:r>
      <w:r w:rsidDel="00000000" w:rsidR="00000000" w:rsidRPr="00000000">
        <w:rPr>
          <w:rFonts w:ascii="Times New Roman" w:cs="Times New Roman" w:eastAsia="Times New Roman" w:hAnsi="Times New Roman"/>
          <w:rtl w:val="0"/>
        </w:rPr>
        <w:t xml:space="preserve">, Oxford, v. 22, n. 1, p. 3–25, 2003.</w:t>
      </w:r>
    </w:p>
    <w:p w:rsidR="00000000" w:rsidDel="00000000" w:rsidP="00000000" w:rsidRDefault="00000000" w:rsidRPr="00000000" w14:paraId="00000034">
      <w:pPr>
        <w:spacing w:line="36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COMISSÃO DE DIREITO INTERNACIONAL (CDI). </w:t>
      </w:r>
      <w:r w:rsidDel="00000000" w:rsidR="00000000" w:rsidRPr="00000000">
        <w:rPr>
          <w:rFonts w:ascii="Times New Roman" w:cs="Times New Roman" w:eastAsia="Times New Roman" w:hAnsi="Times New Roman"/>
          <w:i w:val="1"/>
          <w:iCs w:val="1"/>
          <w:rtl w:val="0"/>
        </w:rPr>
        <w:t xml:space="preserve">Yearbook of the International Law Commission</w:t>
      </w:r>
      <w:r w:rsidDel="00000000" w:rsidR="00000000" w:rsidRPr="00000000">
        <w:rPr>
          <w:rFonts w:ascii="Times New Roman" w:cs="Times New Roman" w:eastAsia="Times New Roman" w:hAnsi="Times New Roman"/>
          <w:rtl w:val="0"/>
        </w:rPr>
        <w:t xml:space="preserve">. Nova York: ONU, v. 2, 1966.</w:t>
      </w:r>
    </w:p>
    <w:p w:rsidR="00000000" w:rsidDel="00000000" w:rsidP="00000000" w:rsidRDefault="00000000" w:rsidRPr="00000000" w14:paraId="00000035">
      <w:pPr>
        <w:spacing w:line="36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COMISSÃO EUROPEIA DE DIREITOS HUMANOS. </w:t>
      </w:r>
      <w:r w:rsidDel="00000000" w:rsidR="00000000" w:rsidRPr="00000000">
        <w:rPr>
          <w:rFonts w:ascii="Times New Roman" w:cs="Times New Roman" w:eastAsia="Times New Roman" w:hAnsi="Times New Roman"/>
          <w:i w:val="1"/>
          <w:iCs w:val="1"/>
          <w:rtl w:val="0"/>
        </w:rPr>
        <w:t xml:space="preserve">Cyprus v. Turkey</w:t>
      </w:r>
      <w:r w:rsidDel="00000000" w:rsidR="00000000" w:rsidRPr="00000000">
        <w:rPr>
          <w:rFonts w:ascii="Times New Roman" w:cs="Times New Roman" w:eastAsia="Times New Roman" w:hAnsi="Times New Roman"/>
          <w:rtl w:val="0"/>
        </w:rPr>
        <w:t xml:space="preserve">. Estrasburgo: Conselho da Europa, Applications nos. 6780/74 &amp; 6980/75, decisão de 26 mai. 1975.</w:t>
      </w:r>
    </w:p>
    <w:p w:rsidR="00000000" w:rsidDel="00000000" w:rsidP="00000000" w:rsidRDefault="00000000" w:rsidRPr="00000000" w14:paraId="00000036">
      <w:pPr>
        <w:spacing w:line="36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COMITÊ INTERNACIONAL DA CRUZ VERMELHA (CICV). </w:t>
      </w:r>
      <w:r w:rsidDel="00000000" w:rsidR="00000000" w:rsidRPr="00000000">
        <w:rPr>
          <w:rFonts w:ascii="Times New Roman" w:cs="Times New Roman" w:eastAsia="Times New Roman" w:hAnsi="Times New Roman"/>
          <w:i w:val="1"/>
          <w:iCs w:val="1"/>
          <w:rtl w:val="0"/>
        </w:rPr>
        <w:t xml:space="preserve">Convention (IV) respecting the Laws and Customs of War on Land and its annex: Regulations concerning the Laws and Customs of War on Land</w:t>
      </w:r>
      <w:r w:rsidDel="00000000" w:rsidR="00000000" w:rsidRPr="00000000">
        <w:rPr>
          <w:rFonts w:ascii="Times New Roman" w:cs="Times New Roman" w:eastAsia="Times New Roman" w:hAnsi="Times New Roman"/>
          <w:rtl w:val="0"/>
        </w:rPr>
        <w:t xml:space="preserve">. Haia, 18 out. 1907. </w:t>
      </w:r>
    </w:p>
    <w:p w:rsidR="00000000" w:rsidDel="00000000" w:rsidP="00000000" w:rsidRDefault="00000000" w:rsidRPr="00000000" w14:paraId="00000037">
      <w:pPr>
        <w:spacing w:line="36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__________. </w:t>
      </w:r>
      <w:r w:rsidDel="00000000" w:rsidR="00000000" w:rsidRPr="00000000">
        <w:rPr>
          <w:rFonts w:ascii="Times New Roman" w:cs="Times New Roman" w:eastAsia="Times New Roman" w:hAnsi="Times New Roman"/>
          <w:i w:val="1"/>
          <w:iCs w:val="1"/>
          <w:rtl w:val="0"/>
        </w:rPr>
        <w:t xml:space="preserve">Domestic Implementation of International Humanitarian Law Prohibiting Sexual Violence: </w:t>
      </w:r>
      <w:r w:rsidDel="00000000" w:rsidR="00000000" w:rsidRPr="00000000">
        <w:rPr>
          <w:rFonts w:ascii="Times New Roman" w:cs="Times New Roman" w:eastAsia="Times New Roman" w:hAnsi="Times New Roman"/>
          <w:rtl w:val="0"/>
        </w:rPr>
        <w:t xml:space="preserve">a Checklist for States and the International Red Cross and Red Crescent Movement. Genebra: CICV, 2 dez. 2020.</w:t>
      </w:r>
    </w:p>
    <w:p w:rsidR="00000000" w:rsidDel="00000000" w:rsidP="00000000" w:rsidRDefault="00000000" w:rsidRPr="00000000" w14:paraId="00000038">
      <w:pPr>
        <w:spacing w:line="360" w:lineRule="auto"/>
        <w:jc w:val="both"/>
        <w:rPr>
          <w:rFonts w:ascii="Times New Roman" w:cs="Times New Roman" w:eastAsia="Times New Roman" w:hAnsi="Times New Roman"/>
        </w:rPr>
      </w:pPr>
      <w:r w:rsidDel="00000000" w:rsidR="00000000" w:rsidRPr="00000000">
        <w:rPr>
          <w:rtl w:val="0"/>
        </w:rPr>
        <w:t xml:space="preserve">__________. </w:t>
      </w:r>
      <w:r w:rsidDel="00000000" w:rsidR="00000000" w:rsidRPr="00000000">
        <w:rPr>
          <w:rFonts w:ascii="Times New Roman" w:cs="Times New Roman" w:eastAsia="Times New Roman" w:hAnsi="Times New Roman"/>
          <w:i w:val="1"/>
          <w:iCs w:val="1"/>
          <w:rtl w:val="0"/>
        </w:rPr>
        <w:t xml:space="preserve">Gendered Impacts of Armed Conflict and Implications for the Application of International Humanitarian Law</w:t>
      </w:r>
      <w:r w:rsidDel="00000000" w:rsidR="00000000" w:rsidRPr="00000000">
        <w:rPr>
          <w:rFonts w:ascii="Times New Roman" w:cs="Times New Roman" w:eastAsia="Times New Roman" w:hAnsi="Times New Roman"/>
          <w:rtl w:val="0"/>
        </w:rPr>
        <w:t xml:space="preserve">. Genebra: CICV, 29 jun. 2022.</w:t>
      </w:r>
    </w:p>
    <w:p w:rsidR="00000000" w:rsidDel="00000000" w:rsidP="00000000" w:rsidRDefault="00000000" w:rsidRPr="00000000" w14:paraId="00000039">
      <w:pPr>
        <w:spacing w:line="36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__________. </w:t>
      </w:r>
      <w:r w:rsidDel="00000000" w:rsidR="00000000" w:rsidRPr="00000000">
        <w:rPr>
          <w:rFonts w:ascii="Times New Roman" w:cs="Times New Roman" w:eastAsia="Times New Roman" w:hAnsi="Times New Roman"/>
          <w:i w:val="1"/>
          <w:iCs w:val="1"/>
          <w:rtl w:val="0"/>
        </w:rPr>
        <w:t xml:space="preserve">IV Convenção de Genebra de 12 de Agosto de 1949 Relativa à Proteção dos Civis em Tempo de Guerra</w:t>
      </w:r>
      <w:r w:rsidDel="00000000" w:rsidR="00000000" w:rsidRPr="00000000">
        <w:rPr>
          <w:rFonts w:ascii="Times New Roman" w:cs="Times New Roman" w:eastAsia="Times New Roman" w:hAnsi="Times New Roman"/>
          <w:rtl w:val="0"/>
        </w:rPr>
        <w:t xml:space="preserve">. Genebra, 12 ago. 1949. </w:t>
      </w:r>
    </w:p>
    <w:p w:rsidR="00000000" w:rsidDel="00000000" w:rsidP="00000000" w:rsidRDefault="00000000" w:rsidRPr="00000000" w14:paraId="0000003A">
      <w:pPr>
        <w:spacing w:line="36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COMITÊ PARA A ELIMINAÇÃO DA DISCRIMINAÇÃO CONTRA A MULHER (CEDAW). </w:t>
      </w:r>
      <w:r w:rsidDel="00000000" w:rsidR="00000000" w:rsidRPr="00000000">
        <w:rPr>
          <w:rFonts w:ascii="Times New Roman" w:cs="Times New Roman" w:eastAsia="Times New Roman" w:hAnsi="Times New Roman"/>
          <w:i w:val="1"/>
          <w:iCs w:val="1"/>
          <w:rtl w:val="0"/>
        </w:rPr>
        <w:t xml:space="preserve">General Recommendation No. 30 on Women in Conflict Prevention, Conflict and Post-Conflict Situations</w:t>
      </w:r>
      <w:r w:rsidDel="00000000" w:rsidR="00000000" w:rsidRPr="00000000">
        <w:rPr>
          <w:rFonts w:ascii="Times New Roman" w:cs="Times New Roman" w:eastAsia="Times New Roman" w:hAnsi="Times New Roman"/>
          <w:rtl w:val="0"/>
        </w:rPr>
        <w:t xml:space="preserve">. Genebra: ONU, 18 out. 2013.</w:t>
      </w:r>
    </w:p>
    <w:p w:rsidR="00000000" w:rsidDel="00000000" w:rsidP="00000000" w:rsidRDefault="00000000" w:rsidRPr="00000000" w14:paraId="0000003B">
      <w:pPr>
        <w:spacing w:line="36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CONSELHO DE DIREITOS HUMANOS DA ONU (CDH). </w:t>
      </w:r>
      <w:r w:rsidDel="00000000" w:rsidR="00000000" w:rsidRPr="00000000">
        <w:rPr>
          <w:rFonts w:ascii="Times New Roman" w:cs="Times New Roman" w:eastAsia="Times New Roman" w:hAnsi="Times New Roman"/>
          <w:i w:val="1"/>
          <w:iCs w:val="1"/>
          <w:rtl w:val="0"/>
        </w:rPr>
        <w:t xml:space="preserve">Report of the Special Rapporteur on violence against women, its causes and consequences, on her mission to the Occupied Palestinian Territory/State of Palestine</w:t>
      </w:r>
      <w:r w:rsidDel="00000000" w:rsidR="00000000" w:rsidRPr="00000000">
        <w:rPr>
          <w:rFonts w:ascii="Times New Roman" w:cs="Times New Roman" w:eastAsia="Times New Roman" w:hAnsi="Times New Roman"/>
          <w:rtl w:val="0"/>
        </w:rPr>
        <w:t xml:space="preserve">. Genebra: ONU, UN Doc. A/HRC/35/30/Add.2, 8 jun. 2017.</w:t>
      </w:r>
    </w:p>
    <w:p w:rsidR="00000000" w:rsidDel="00000000" w:rsidP="00000000" w:rsidRDefault="00000000" w:rsidRPr="00000000" w14:paraId="0000003C">
      <w:pPr>
        <w:spacing w:line="36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CORTE INTERNACIONAL DE JUSTIÇA (CIJ). </w:t>
      </w:r>
      <w:r w:rsidDel="00000000" w:rsidR="00000000" w:rsidRPr="00000000">
        <w:rPr>
          <w:rFonts w:ascii="Times New Roman" w:cs="Times New Roman" w:eastAsia="Times New Roman" w:hAnsi="Times New Roman"/>
          <w:i w:val="1"/>
          <w:iCs w:val="1"/>
          <w:rtl w:val="0"/>
        </w:rPr>
        <w:t xml:space="preserve">Armed Activities on the Territory of the Congo (Democratic Republic of the Congo v. Uganda)</w:t>
      </w:r>
      <w:r w:rsidDel="00000000" w:rsidR="00000000" w:rsidRPr="00000000">
        <w:rPr>
          <w:rFonts w:ascii="Times New Roman" w:cs="Times New Roman" w:eastAsia="Times New Roman" w:hAnsi="Times New Roman"/>
          <w:rtl w:val="0"/>
        </w:rPr>
        <w:t xml:space="preserve">, Judgment, 19 dez. 2005. Haia: CIJ, 2005.</w:t>
      </w:r>
    </w:p>
    <w:p w:rsidR="00000000" w:rsidDel="00000000" w:rsidP="00000000" w:rsidRDefault="00000000" w:rsidRPr="00000000" w14:paraId="0000003D">
      <w:pPr>
        <w:spacing w:line="360" w:lineRule="auto"/>
        <w:jc w:val="both"/>
        <w:rPr>
          <w:rFonts w:ascii="Times New Roman" w:cs="Times New Roman" w:eastAsia="Times New Roman" w:hAnsi="Times New Roman"/>
        </w:rPr>
      </w:pPr>
      <w:r w:rsidDel="00000000" w:rsidR="00000000" w:rsidRPr="00000000">
        <w:rPr>
          <w:rtl w:val="0"/>
        </w:rPr>
        <w:t xml:space="preserve">__________.</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i w:val="1"/>
          <w:iCs w:val="1"/>
          <w:rtl w:val="0"/>
        </w:rPr>
        <w:t xml:space="preserve">Legal Consequences of the Construction of a Wall in the Occupied Palestinian Territory</w:t>
      </w:r>
      <w:r w:rsidDel="00000000" w:rsidR="00000000" w:rsidRPr="00000000">
        <w:rPr>
          <w:rFonts w:ascii="Times New Roman" w:cs="Times New Roman" w:eastAsia="Times New Roman" w:hAnsi="Times New Roman"/>
          <w:rtl w:val="0"/>
        </w:rPr>
        <w:t xml:space="preserve">, Advisory Opinion, 9 jul. 2004. Haia: CIJ, 2004.</w:t>
      </w:r>
    </w:p>
    <w:p w:rsidR="00000000" w:rsidDel="00000000" w:rsidP="00000000" w:rsidRDefault="00000000" w:rsidRPr="00000000" w14:paraId="0000003E">
      <w:pPr>
        <w:spacing w:line="36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FERRARO, Tristan. Determining the Beginning and End of an Occupation Under International Humanitarian Law. </w:t>
      </w:r>
      <w:r w:rsidDel="00000000" w:rsidR="00000000" w:rsidRPr="00000000">
        <w:rPr>
          <w:rFonts w:ascii="Times New Roman" w:cs="Times New Roman" w:eastAsia="Times New Roman" w:hAnsi="Times New Roman"/>
          <w:i w:val="1"/>
          <w:iCs w:val="1"/>
          <w:rtl w:val="0"/>
        </w:rPr>
        <w:t xml:space="preserve">International Review of the Red Cross</w:t>
      </w:r>
      <w:r w:rsidDel="00000000" w:rsidR="00000000" w:rsidRPr="00000000">
        <w:rPr>
          <w:rFonts w:ascii="Times New Roman" w:cs="Times New Roman" w:eastAsia="Times New Roman" w:hAnsi="Times New Roman"/>
          <w:rtl w:val="0"/>
        </w:rPr>
        <w:t xml:space="preserve">, Cambridge, v. 94, n. 885, p. 133–163, 2012.</w:t>
      </w:r>
    </w:p>
    <w:p w:rsidR="00000000" w:rsidDel="00000000" w:rsidP="00000000" w:rsidRDefault="00000000" w:rsidRPr="00000000" w14:paraId="0000003F">
      <w:pPr>
        <w:spacing w:line="360" w:lineRule="auto"/>
        <w:jc w:val="both"/>
        <w:rPr>
          <w:rFonts w:ascii="Times New Roman" w:cs="Times New Roman" w:eastAsia="Times New Roman" w:hAnsi="Times New Roman"/>
        </w:rPr>
      </w:pPr>
      <w:r w:rsidDel="00000000" w:rsidR="00000000" w:rsidRPr="00000000">
        <w:rPr>
          <w:rtl w:val="0"/>
        </w:rPr>
        <w:t xml:space="preserve">__________.</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i w:val="1"/>
          <w:iCs w:val="1"/>
          <w:rtl w:val="0"/>
        </w:rPr>
        <w:t xml:space="preserve">Expert Meeting: </w:t>
      </w:r>
      <w:r w:rsidDel="00000000" w:rsidR="00000000" w:rsidRPr="00000000">
        <w:rPr>
          <w:rFonts w:ascii="Times New Roman" w:cs="Times New Roman" w:eastAsia="Times New Roman" w:hAnsi="Times New Roman"/>
          <w:rtl w:val="0"/>
        </w:rPr>
        <w:t xml:space="preserve">Occupation and Other Forms of Administration of Foreign Territory. Geneva: International Committee of the Red Cross, 11 June 2020.</w:t>
      </w:r>
    </w:p>
    <w:p w:rsidR="00000000" w:rsidDel="00000000" w:rsidP="00000000" w:rsidRDefault="00000000" w:rsidRPr="00000000" w14:paraId="00000040">
      <w:pPr>
        <w:spacing w:line="36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LONGWORTH, Sarah A. The Law of Occupation and Gender. </w:t>
      </w:r>
      <w:r w:rsidDel="00000000" w:rsidR="00000000" w:rsidRPr="00000000">
        <w:rPr>
          <w:rFonts w:ascii="Times New Roman" w:cs="Times New Roman" w:eastAsia="Times New Roman" w:hAnsi="Times New Roman"/>
          <w:i w:val="1"/>
          <w:iCs w:val="1"/>
          <w:rtl w:val="0"/>
        </w:rPr>
        <w:t xml:space="preserve">In</w:t>
      </w:r>
      <w:r w:rsidDel="00000000" w:rsidR="00000000" w:rsidRPr="00000000">
        <w:rPr>
          <w:rFonts w:ascii="Times New Roman" w:cs="Times New Roman" w:eastAsia="Times New Roman" w:hAnsi="Times New Roman"/>
          <w:rtl w:val="0"/>
        </w:rPr>
        <w:t xml:space="preserve">: TENGROTH, Cecilia; LINDVALL, Kristina (ed.). </w:t>
      </w:r>
      <w:r w:rsidDel="00000000" w:rsidR="00000000" w:rsidRPr="00000000">
        <w:rPr>
          <w:rFonts w:ascii="Times New Roman" w:cs="Times New Roman" w:eastAsia="Times New Roman" w:hAnsi="Times New Roman"/>
          <w:i w:val="1"/>
          <w:iCs w:val="1"/>
          <w:rtl w:val="0"/>
        </w:rPr>
        <w:t xml:space="preserve">IHL and Gender – Swedish Experiences</w:t>
      </w:r>
      <w:r w:rsidDel="00000000" w:rsidR="00000000" w:rsidRPr="00000000">
        <w:rPr>
          <w:rFonts w:ascii="Times New Roman" w:cs="Times New Roman" w:eastAsia="Times New Roman" w:hAnsi="Times New Roman"/>
          <w:rtl w:val="0"/>
        </w:rPr>
        <w:t xml:space="preserve">. Estocolmo: Cruz Vermelha Sueca; Ministério das Relações Exteriores Sueco, p. 30–37, 2015.</w:t>
      </w:r>
    </w:p>
    <w:p w:rsidR="00000000" w:rsidDel="00000000" w:rsidP="00000000" w:rsidRDefault="00000000" w:rsidRPr="00000000" w14:paraId="00000041">
      <w:pPr>
        <w:spacing w:line="36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LUBELL, Noam. Human Rights Obligations in Military Occupation. </w:t>
      </w:r>
      <w:r w:rsidDel="00000000" w:rsidR="00000000" w:rsidRPr="00000000">
        <w:rPr>
          <w:rFonts w:ascii="Times New Roman" w:cs="Times New Roman" w:eastAsia="Times New Roman" w:hAnsi="Times New Roman"/>
          <w:i w:val="1"/>
          <w:iCs w:val="1"/>
          <w:rtl w:val="0"/>
        </w:rPr>
        <w:t xml:space="preserve">International Review of the Red Cross</w:t>
      </w:r>
      <w:r w:rsidDel="00000000" w:rsidR="00000000" w:rsidRPr="00000000">
        <w:rPr>
          <w:rFonts w:ascii="Times New Roman" w:cs="Times New Roman" w:eastAsia="Times New Roman" w:hAnsi="Times New Roman"/>
          <w:rtl w:val="0"/>
        </w:rPr>
        <w:t xml:space="preserve">, Cambridge, v. 94, n. 885, p. 317–337, 2012.</w:t>
      </w:r>
    </w:p>
    <w:p w:rsidR="00000000" w:rsidDel="00000000" w:rsidP="00000000" w:rsidRDefault="00000000" w:rsidRPr="00000000" w14:paraId="00000042">
      <w:pPr>
        <w:spacing w:line="36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LYNK, Michael. Prolonged Occupation or Illegal Occupant?. </w:t>
      </w:r>
      <w:r w:rsidDel="00000000" w:rsidR="00000000" w:rsidRPr="00000000">
        <w:rPr>
          <w:rFonts w:ascii="Times New Roman" w:cs="Times New Roman" w:eastAsia="Times New Roman" w:hAnsi="Times New Roman"/>
          <w:i w:val="1"/>
          <w:iCs w:val="1"/>
          <w:rtl w:val="0"/>
        </w:rPr>
        <w:t xml:space="preserve">EJIL: Talk!</w:t>
      </w:r>
      <w:r w:rsidDel="00000000" w:rsidR="00000000" w:rsidRPr="00000000">
        <w:rPr>
          <w:rFonts w:ascii="Times New Roman" w:cs="Times New Roman" w:eastAsia="Times New Roman" w:hAnsi="Times New Roman"/>
          <w:rtl w:val="0"/>
        </w:rPr>
        <w:t xml:space="preserve">. 16 mai. 2018. Disponível em: </w:t>
      </w:r>
      <w:hyperlink r:id="rId8">
        <w:r w:rsidDel="00000000" w:rsidR="00000000" w:rsidRPr="00000000">
          <w:rPr>
            <w:rFonts w:ascii="Times New Roman" w:cs="Times New Roman" w:eastAsia="Times New Roman" w:hAnsi="Times New Roman"/>
            <w:color w:val="467886"/>
            <w:u w:val="single"/>
            <w:rtl w:val="0"/>
          </w:rPr>
          <w:t xml:space="preserve">https://www.ejiltalk.org/prolonged-occupation-or-illegal-occupant/</w:t>
        </w:r>
      </w:hyperlink>
      <w:r w:rsidDel="00000000" w:rsidR="00000000" w:rsidRPr="00000000">
        <w:rPr>
          <w:rFonts w:ascii="Times New Roman" w:cs="Times New Roman" w:eastAsia="Times New Roman" w:hAnsi="Times New Roman"/>
          <w:rtl w:val="0"/>
        </w:rPr>
        <w:t xml:space="preserve">. Acesso em: 3 fev. 2026.</w:t>
      </w:r>
    </w:p>
    <w:p w:rsidR="00000000" w:rsidDel="00000000" w:rsidP="00000000" w:rsidRDefault="00000000" w:rsidRPr="00000000" w14:paraId="00000043">
      <w:pPr>
        <w:spacing w:line="36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MACKINNON, Catharine A. </w:t>
      </w:r>
      <w:r w:rsidDel="00000000" w:rsidR="00000000" w:rsidRPr="00000000">
        <w:rPr>
          <w:rFonts w:ascii="Times New Roman" w:cs="Times New Roman" w:eastAsia="Times New Roman" w:hAnsi="Times New Roman"/>
          <w:i w:val="1"/>
          <w:iCs w:val="1"/>
          <w:rtl w:val="0"/>
        </w:rPr>
        <w:t xml:space="preserve">Are Women Human? And Other International Dialogues</w:t>
      </w:r>
      <w:r w:rsidDel="00000000" w:rsidR="00000000" w:rsidRPr="00000000">
        <w:rPr>
          <w:rFonts w:ascii="Times New Roman" w:cs="Times New Roman" w:eastAsia="Times New Roman" w:hAnsi="Times New Roman"/>
          <w:rtl w:val="0"/>
        </w:rPr>
        <w:t xml:space="preserve">. 1ª ed. Cambridge: Harvard University Press, 2006.</w:t>
      </w:r>
    </w:p>
    <w:p w:rsidR="00000000" w:rsidDel="00000000" w:rsidP="00000000" w:rsidRDefault="00000000" w:rsidRPr="00000000" w14:paraId="00000044">
      <w:pPr>
        <w:spacing w:line="36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MELZER, Nils. </w:t>
      </w:r>
      <w:r w:rsidDel="00000000" w:rsidR="00000000" w:rsidRPr="00000000">
        <w:rPr>
          <w:rFonts w:ascii="Times New Roman" w:cs="Times New Roman" w:eastAsia="Times New Roman" w:hAnsi="Times New Roman"/>
          <w:i w:val="1"/>
          <w:iCs w:val="1"/>
          <w:rtl w:val="0"/>
        </w:rPr>
        <w:t xml:space="preserve">International Humanitarian Law: </w:t>
      </w:r>
      <w:r w:rsidDel="00000000" w:rsidR="00000000" w:rsidRPr="00000000">
        <w:rPr>
          <w:rFonts w:ascii="Times New Roman" w:cs="Times New Roman" w:eastAsia="Times New Roman" w:hAnsi="Times New Roman"/>
          <w:rtl w:val="0"/>
        </w:rPr>
        <w:t xml:space="preserve">A Comprehensive Introduction. Genebra: Comitê Internacional da Cruz Vermelha, 2016.</w:t>
      </w:r>
    </w:p>
    <w:p w:rsidR="00000000" w:rsidDel="00000000" w:rsidP="00000000" w:rsidRDefault="00000000" w:rsidRPr="00000000" w14:paraId="00000045">
      <w:pPr>
        <w:spacing w:line="36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MIFTAH; PALESTINIAN WORKING WOMAN SOCIETY FOR DEVELOPMENT; WOMEN’S CENTRE FOR LEGAL AID AND COUNSELLING; TAM; KARAMA. </w:t>
      </w:r>
      <w:r w:rsidDel="00000000" w:rsidR="00000000" w:rsidRPr="00000000">
        <w:rPr>
          <w:rFonts w:ascii="Times New Roman" w:cs="Times New Roman" w:eastAsia="Times New Roman" w:hAnsi="Times New Roman"/>
          <w:i w:val="1"/>
          <w:iCs w:val="1"/>
          <w:rtl w:val="0"/>
        </w:rPr>
        <w:t xml:space="preserve">Palestinian Women: </w:t>
      </w:r>
      <w:r w:rsidDel="00000000" w:rsidR="00000000" w:rsidRPr="00000000">
        <w:rPr>
          <w:rFonts w:ascii="Times New Roman" w:cs="Times New Roman" w:eastAsia="Times New Roman" w:hAnsi="Times New Roman"/>
          <w:rtl w:val="0"/>
        </w:rPr>
        <w:t xml:space="preserve">the Disproportionate Impact of the Israeli Occupation. Jerusalém: MIFTAH </w:t>
      </w:r>
      <w:r w:rsidDel="00000000" w:rsidR="00000000" w:rsidRPr="00000000">
        <w:rPr>
          <w:rFonts w:ascii="Times New Roman" w:cs="Times New Roman" w:eastAsia="Times New Roman" w:hAnsi="Times New Roman"/>
          <w:i w:val="1"/>
          <w:iCs w:val="1"/>
          <w:rtl w:val="0"/>
        </w:rPr>
        <w:t xml:space="preserve">et al</w:t>
      </w:r>
      <w:r w:rsidDel="00000000" w:rsidR="00000000" w:rsidRPr="00000000">
        <w:rPr>
          <w:rFonts w:ascii="Times New Roman" w:cs="Times New Roman" w:eastAsia="Times New Roman" w:hAnsi="Times New Roman"/>
          <w:rtl w:val="0"/>
        </w:rPr>
        <w:t xml:space="preserve">, 2018.</w:t>
      </w:r>
    </w:p>
    <w:p w:rsidR="00000000" w:rsidDel="00000000" w:rsidP="00000000" w:rsidRDefault="00000000" w:rsidRPr="00000000" w14:paraId="00000046">
      <w:pPr>
        <w:spacing w:line="36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ORGANIZAÇÃO PARA A SEGURANÇA E COOPERAÇÃO NA EUROPA (OSCE). </w:t>
      </w:r>
      <w:r w:rsidDel="00000000" w:rsidR="00000000" w:rsidRPr="00000000">
        <w:rPr>
          <w:rFonts w:ascii="Times New Roman" w:cs="Times New Roman" w:eastAsia="Times New Roman" w:hAnsi="Times New Roman"/>
          <w:i w:val="1"/>
          <w:iCs w:val="1"/>
          <w:rtl w:val="0"/>
        </w:rPr>
        <w:t xml:space="preserve">Conflict-Related Displacement in Ukraine: </w:t>
      </w:r>
      <w:r w:rsidDel="00000000" w:rsidR="00000000" w:rsidRPr="00000000">
        <w:rPr>
          <w:rFonts w:ascii="Times New Roman" w:cs="Times New Roman" w:eastAsia="Times New Roman" w:hAnsi="Times New Roman"/>
          <w:rtl w:val="0"/>
        </w:rPr>
        <w:t xml:space="preserve">Increased Vulnerabilities of Affected Populations and Triggers of Tension Within Communities. Viena: OSCE Special Monitoring Mission to Ukraine, 2016.</w:t>
      </w:r>
    </w:p>
    <w:p w:rsidR="00000000" w:rsidDel="00000000" w:rsidP="00000000" w:rsidRDefault="00000000" w:rsidRPr="00000000" w14:paraId="00000047">
      <w:pPr>
        <w:spacing w:line="36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PRATT, Nicola C. </w:t>
      </w:r>
      <w:r w:rsidDel="00000000" w:rsidR="00000000" w:rsidRPr="00000000">
        <w:rPr>
          <w:rFonts w:ascii="Times New Roman" w:cs="Times New Roman" w:eastAsia="Times New Roman" w:hAnsi="Times New Roman"/>
          <w:i w:val="1"/>
          <w:iCs w:val="1"/>
          <w:rtl w:val="0"/>
        </w:rPr>
        <w:t xml:space="preserve">Gendering Political Reconstruction in Iraq</w:t>
      </w:r>
      <w:r w:rsidDel="00000000" w:rsidR="00000000" w:rsidRPr="00000000">
        <w:rPr>
          <w:rFonts w:ascii="Times New Roman" w:cs="Times New Roman" w:eastAsia="Times New Roman" w:hAnsi="Times New Roman"/>
          <w:rtl w:val="0"/>
        </w:rPr>
        <w:t xml:space="preserve">. Norwich: University of East Anglia, 2005. (Working Paper 3)</w:t>
      </w:r>
    </w:p>
    <w:p w:rsidR="00000000" w:rsidDel="00000000" w:rsidP="00000000" w:rsidRDefault="00000000" w:rsidRPr="00000000" w14:paraId="00000048">
      <w:pPr>
        <w:spacing w:line="36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ROBERTS, Adam. Prolonged Military Occupation: The Israeli-Occupied Territories Since 1967. </w:t>
      </w:r>
      <w:r w:rsidDel="00000000" w:rsidR="00000000" w:rsidRPr="00000000">
        <w:rPr>
          <w:rFonts w:ascii="Times New Roman" w:cs="Times New Roman" w:eastAsia="Times New Roman" w:hAnsi="Times New Roman"/>
          <w:i w:val="1"/>
          <w:iCs w:val="1"/>
          <w:rtl w:val="0"/>
        </w:rPr>
        <w:t xml:space="preserve">American Journal of International Law</w:t>
      </w:r>
      <w:r w:rsidDel="00000000" w:rsidR="00000000" w:rsidRPr="00000000">
        <w:rPr>
          <w:rFonts w:ascii="Times New Roman" w:cs="Times New Roman" w:eastAsia="Times New Roman" w:hAnsi="Times New Roman"/>
          <w:rtl w:val="0"/>
        </w:rPr>
        <w:t xml:space="preserve">, Cambridge, v. 84, n. 1, p. 44–103, 1990.</w:t>
      </w:r>
    </w:p>
    <w:p w:rsidR="00000000" w:rsidDel="00000000" w:rsidP="00000000" w:rsidRDefault="00000000" w:rsidRPr="00000000" w14:paraId="00000049">
      <w:pPr>
        <w:spacing w:line="36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ROBERTS, Adam. Transformative Military Occupation: Applying the Laws of War and Human Rights. </w:t>
      </w:r>
      <w:r w:rsidDel="00000000" w:rsidR="00000000" w:rsidRPr="00000000">
        <w:rPr>
          <w:rFonts w:ascii="Times New Roman" w:cs="Times New Roman" w:eastAsia="Times New Roman" w:hAnsi="Times New Roman"/>
          <w:i w:val="1"/>
          <w:iCs w:val="1"/>
          <w:rtl w:val="0"/>
        </w:rPr>
        <w:t xml:space="preserve">American Journal of International Law</w:t>
      </w:r>
      <w:r w:rsidDel="00000000" w:rsidR="00000000" w:rsidRPr="00000000">
        <w:rPr>
          <w:rFonts w:ascii="Times New Roman" w:cs="Times New Roman" w:eastAsia="Times New Roman" w:hAnsi="Times New Roman"/>
          <w:rtl w:val="0"/>
        </w:rPr>
        <w:t xml:space="preserve">, Cambridge, v. 100, n. 3, p. 580–622, 2006.</w:t>
      </w:r>
    </w:p>
    <w:p w:rsidR="00000000" w:rsidDel="00000000" w:rsidP="00000000" w:rsidRDefault="00000000" w:rsidRPr="00000000" w14:paraId="0000004A">
      <w:pPr>
        <w:spacing w:line="36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SELLERS, Patricia V. </w:t>
      </w:r>
      <w:r w:rsidDel="00000000" w:rsidR="00000000" w:rsidRPr="00000000">
        <w:rPr>
          <w:rFonts w:ascii="Times New Roman" w:cs="Times New Roman" w:eastAsia="Times New Roman" w:hAnsi="Times New Roman"/>
          <w:i w:val="1"/>
          <w:iCs w:val="1"/>
          <w:rtl w:val="0"/>
        </w:rPr>
        <w:t xml:space="preserve">The Prosecution of Sexual Violence in Conflict: The Importance of Human Rights as Means of Interpretation</w:t>
      </w:r>
      <w:r w:rsidDel="00000000" w:rsidR="00000000" w:rsidRPr="00000000">
        <w:rPr>
          <w:rFonts w:ascii="Times New Roman" w:cs="Times New Roman" w:eastAsia="Times New Roman" w:hAnsi="Times New Roman"/>
          <w:rtl w:val="0"/>
        </w:rPr>
        <w:t xml:space="preserve">. Genebra: Alto Comissariado das Nações Unidas para os Direitos Humanos, 2008.</w:t>
      </w:r>
    </w:p>
    <w:p w:rsidR="00000000" w:rsidDel="00000000" w:rsidP="00000000" w:rsidRDefault="00000000" w:rsidRPr="00000000" w14:paraId="0000004B">
      <w:pPr>
        <w:spacing w:line="36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SHALHOUB-KEVORKIAN, Nadera. The Politics of Birth and the Intimacies Of Violence Against Palestinian Women in Occupied East Jerusalem. </w:t>
      </w:r>
      <w:r w:rsidDel="00000000" w:rsidR="00000000" w:rsidRPr="00000000">
        <w:rPr>
          <w:rFonts w:ascii="Times New Roman" w:cs="Times New Roman" w:eastAsia="Times New Roman" w:hAnsi="Times New Roman"/>
          <w:i w:val="1"/>
          <w:iCs w:val="1"/>
          <w:rtl w:val="0"/>
        </w:rPr>
        <w:t xml:space="preserve">British Journal of Criminology</w:t>
      </w:r>
      <w:r w:rsidDel="00000000" w:rsidR="00000000" w:rsidRPr="00000000">
        <w:rPr>
          <w:rFonts w:ascii="Times New Roman" w:cs="Times New Roman" w:eastAsia="Times New Roman" w:hAnsi="Times New Roman"/>
          <w:rtl w:val="0"/>
        </w:rPr>
        <w:t xml:space="preserve">, Oxford, v. 55, n. 6, p. 1187–1206, 2015.</w:t>
      </w:r>
    </w:p>
    <w:p w:rsidR="00000000" w:rsidDel="00000000" w:rsidP="00000000" w:rsidRDefault="00000000" w:rsidRPr="00000000" w14:paraId="0000004C">
      <w:pPr>
        <w:spacing w:line="36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TRIBUNAL MILITAR DOS ESTADOS UNIDOS. </w:t>
      </w:r>
      <w:r w:rsidDel="00000000" w:rsidR="00000000" w:rsidRPr="00000000">
        <w:rPr>
          <w:rFonts w:ascii="Times New Roman" w:cs="Times New Roman" w:eastAsia="Times New Roman" w:hAnsi="Times New Roman"/>
          <w:i w:val="1"/>
          <w:iCs w:val="1"/>
          <w:rtl w:val="0"/>
        </w:rPr>
        <w:t xml:space="preserve">Trial of Wilhelm List and Others (The Hostages Trial)</w:t>
      </w:r>
      <w:r w:rsidDel="00000000" w:rsidR="00000000" w:rsidRPr="00000000">
        <w:rPr>
          <w:rFonts w:ascii="Times New Roman" w:cs="Times New Roman" w:eastAsia="Times New Roman" w:hAnsi="Times New Roman"/>
          <w:rtl w:val="0"/>
        </w:rPr>
        <w:t xml:space="preserve">. Nuremberg, 1947 – 1948. </w:t>
      </w:r>
      <w:r w:rsidDel="00000000" w:rsidR="00000000" w:rsidRPr="00000000">
        <w:rPr>
          <w:rFonts w:ascii="Times New Roman" w:cs="Times New Roman" w:eastAsia="Times New Roman" w:hAnsi="Times New Roman"/>
          <w:i w:val="1"/>
          <w:iCs w:val="1"/>
          <w:rtl w:val="0"/>
        </w:rPr>
        <w:t xml:space="preserve">In</w:t>
      </w:r>
      <w:r w:rsidDel="00000000" w:rsidR="00000000" w:rsidRPr="00000000">
        <w:rPr>
          <w:rFonts w:ascii="Times New Roman" w:cs="Times New Roman" w:eastAsia="Times New Roman" w:hAnsi="Times New Roman"/>
          <w:rtl w:val="0"/>
        </w:rPr>
        <w:t xml:space="preserve">: UNITED NATIONS WAR CRIMES COMMISSION. </w:t>
      </w:r>
      <w:r w:rsidDel="00000000" w:rsidR="00000000" w:rsidRPr="00000000">
        <w:rPr>
          <w:rFonts w:ascii="Times New Roman" w:cs="Times New Roman" w:eastAsia="Times New Roman" w:hAnsi="Times New Roman"/>
          <w:i w:val="1"/>
          <w:iCs w:val="1"/>
          <w:rtl w:val="0"/>
        </w:rPr>
        <w:t xml:space="preserve">Law Reports of Trials of War Criminals</w:t>
      </w:r>
      <w:r w:rsidDel="00000000" w:rsidR="00000000" w:rsidRPr="00000000">
        <w:rPr>
          <w:rFonts w:ascii="Times New Roman" w:cs="Times New Roman" w:eastAsia="Times New Roman" w:hAnsi="Times New Roman"/>
          <w:rtl w:val="0"/>
        </w:rPr>
        <w:t xml:space="preserve">. Londres: HMSO, 1949. v. 8, p. 34 – 76.</w:t>
      </w:r>
    </w:p>
    <w:p w:rsidR="00000000" w:rsidDel="00000000" w:rsidP="00000000" w:rsidRDefault="00000000" w:rsidRPr="00000000" w14:paraId="0000004D">
      <w:pPr>
        <w:spacing w:line="36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TRIBUNAL PENAL INTERNACIONAL PARA RUANDA (TPIR). </w:t>
      </w:r>
      <w:r w:rsidDel="00000000" w:rsidR="00000000" w:rsidRPr="00000000">
        <w:rPr>
          <w:rFonts w:ascii="Times New Roman" w:cs="Times New Roman" w:eastAsia="Times New Roman" w:hAnsi="Times New Roman"/>
          <w:i w:val="1"/>
          <w:iCs w:val="1"/>
          <w:rtl w:val="0"/>
        </w:rPr>
        <w:t xml:space="preserve">Prosecutor v. Jean-Paul Akayesu</w:t>
      </w:r>
      <w:r w:rsidDel="00000000" w:rsidR="00000000" w:rsidRPr="00000000">
        <w:rPr>
          <w:rFonts w:ascii="Times New Roman" w:cs="Times New Roman" w:eastAsia="Times New Roman" w:hAnsi="Times New Roman"/>
          <w:rtl w:val="0"/>
        </w:rPr>
        <w:t xml:space="preserve">, Judgment, ICTR-96-4-T, 2 set. 1998. Haia: TPIR, 1998.</w:t>
      </w:r>
    </w:p>
    <w:p w:rsidR="00000000" w:rsidDel="00000000" w:rsidP="00000000" w:rsidRDefault="00000000" w:rsidRPr="00000000" w14:paraId="0000004E">
      <w:pPr>
        <w:spacing w:line="36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TRIBUNAL PENAL INTERNACIONAL PARA A ANTIGA IUGOSLÁVIA (TPII). </w:t>
      </w:r>
      <w:r w:rsidDel="00000000" w:rsidR="00000000" w:rsidRPr="00000000">
        <w:rPr>
          <w:rFonts w:ascii="Times New Roman" w:cs="Times New Roman" w:eastAsia="Times New Roman" w:hAnsi="Times New Roman"/>
          <w:i w:val="1"/>
          <w:iCs w:val="1"/>
          <w:rtl w:val="0"/>
        </w:rPr>
        <w:t xml:space="preserve">Prosecutor v. Mladen Naletilić and Vinko Martinović</w:t>
      </w:r>
      <w:r w:rsidDel="00000000" w:rsidR="00000000" w:rsidRPr="00000000">
        <w:rPr>
          <w:rFonts w:ascii="Times New Roman" w:cs="Times New Roman" w:eastAsia="Times New Roman" w:hAnsi="Times New Roman"/>
          <w:rtl w:val="0"/>
        </w:rPr>
        <w:t xml:space="preserve">. Judgment, IT-98-34-T, 31 mar. 2003. Haia: TPII, 2003.</w:t>
      </w:r>
    </w:p>
    <w:p w:rsidR="00000000" w:rsidDel="00000000" w:rsidP="00000000" w:rsidRDefault="00000000" w:rsidRPr="00000000" w14:paraId="0000004F">
      <w:pPr>
        <w:spacing w:line="360" w:lineRule="auto"/>
        <w:jc w:val="both"/>
        <w:rPr/>
      </w:pPr>
      <w:r w:rsidDel="00000000" w:rsidR="00000000" w:rsidRPr="00000000">
        <w:rPr>
          <w:rFonts w:ascii="Times New Roman" w:cs="Times New Roman" w:eastAsia="Times New Roman" w:hAnsi="Times New Roman"/>
          <w:rtl w:val="0"/>
        </w:rPr>
        <w:t xml:space="preserve">WOMEN’S CENTRE FOR LEGAL AID AND COUNSELLING. </w:t>
      </w:r>
      <w:r w:rsidDel="00000000" w:rsidR="00000000" w:rsidRPr="00000000">
        <w:rPr>
          <w:rFonts w:ascii="Times New Roman" w:cs="Times New Roman" w:eastAsia="Times New Roman" w:hAnsi="Times New Roman"/>
          <w:i w:val="1"/>
          <w:iCs w:val="1"/>
          <w:rtl w:val="0"/>
        </w:rPr>
        <w:t xml:space="preserve">Israeli Military Night-Raids on Palestinian Residences in the West Bank and East Jerusalem</w:t>
      </w:r>
      <w:r w:rsidDel="00000000" w:rsidR="00000000" w:rsidRPr="00000000">
        <w:rPr>
          <w:rFonts w:ascii="Times New Roman" w:cs="Times New Roman" w:eastAsia="Times New Roman" w:hAnsi="Times New Roman"/>
          <w:rtl w:val="0"/>
        </w:rPr>
        <w:t xml:space="preserve">. Ramallah: WCLAC, 2016.</w:t>
      </w:r>
      <w:r w:rsidDel="00000000" w:rsidR="00000000" w:rsidRPr="00000000">
        <w:rPr>
          <w:rtl w:val="0"/>
        </w:rPr>
      </w:r>
    </w:p>
    <w:sectPr>
      <w:pgSz w:h="16838" w:w="11906" w:orient="portrait"/>
      <w:pgMar w:bottom="1417" w:top="1417" w:left="1701" w:right="1701"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Times New Roman"/>
  <w:font w:name="Aptos"/>
  <w:font w:name="Play">
    <w:embedRegular w:fontKey="{00000000-0000-0000-0000-000000000000}" r:id="rId1" w:subsetted="0"/>
    <w:embedBold w:fontKey="{00000000-0000-0000-0000-000000000000}" r:id="rId2" w:subsetted="0"/>
  </w:font>
</w:fonts>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otnote w:id="0">
    <w:p w:rsidR="00000000" w:rsidDel="00000000" w:rsidP="00000000" w:rsidRDefault="00000000" w:rsidRPr="00000000" w14:paraId="00000050">
      <w:pPr>
        <w:spacing w:after="0" w:line="240" w:lineRule="auto"/>
        <w:jc w:val="both"/>
        <w:rPr>
          <w:rFonts w:ascii="Times New Roman" w:cs="Times New Roman" w:eastAsia="Times New Roman" w:hAnsi="Times New Roman"/>
          <w:sz w:val="20"/>
          <w:szCs w:val="20"/>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sz w:val="20"/>
          <w:szCs w:val="20"/>
          <w:rtl w:val="0"/>
        </w:rPr>
        <w:t xml:space="preserve"> Advanced LL.M em Direito Internacional Público pela Universidade de Leiden (2023) e bacharela em Direito pela FGV Direito Rio (2021). É pesquisadora do Centro de Pesquisa em Direito Global (CPDG) e Centro de Excelência Jean Monnet (CEJM), ambos da FGV Direito Rio.</w:t>
      </w:r>
    </w:p>
    <w:p w:rsidR="00000000" w:rsidDel="00000000" w:rsidP="00000000" w:rsidRDefault="00000000" w:rsidRPr="00000000" w14:paraId="00000051">
      <w:pPr>
        <w:spacing w:after="0" w:line="240" w:lineRule="auto"/>
        <w:rPr>
          <w:sz w:val="20"/>
          <w:szCs w:val="20"/>
        </w:rPr>
      </w:pPr>
      <w:r w:rsidDel="00000000" w:rsidR="00000000" w:rsidRPr="00000000">
        <w:rPr>
          <w:rtl w:val="0"/>
        </w:rPr>
      </w:r>
    </w:p>
  </w:footnote>
</w:footnote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ptos" w:cs="Aptos" w:eastAsia="Aptos" w:hAnsi="Aptos"/>
        <w:sz w:val="24"/>
        <w:szCs w:val="24"/>
        <w:lang w:val="pt_BR"/>
      </w:rPr>
    </w:rPrDefault>
    <w:pPrDefault>
      <w:pPr>
        <w:spacing w:after="160" w:line="278.0000000000000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80" w:before="360" w:lineRule="auto"/>
    </w:pPr>
    <w:rPr>
      <w:rFonts w:ascii="Play" w:cs="Play" w:eastAsia="Play" w:hAnsi="Play"/>
      <w:color w:val="0f4761"/>
      <w:sz w:val="40"/>
      <w:szCs w:val="40"/>
    </w:rPr>
  </w:style>
  <w:style w:type="paragraph" w:styleId="Heading2">
    <w:name w:val="heading 2"/>
    <w:basedOn w:val="Normal"/>
    <w:next w:val="Normal"/>
    <w:pPr>
      <w:keepNext w:val="1"/>
      <w:keepLines w:val="1"/>
      <w:spacing w:after="80" w:before="160" w:lineRule="auto"/>
    </w:pPr>
    <w:rPr>
      <w:rFonts w:ascii="Play" w:cs="Play" w:eastAsia="Play" w:hAnsi="Play"/>
      <w:color w:val="0f4761"/>
      <w:sz w:val="32"/>
      <w:szCs w:val="32"/>
    </w:rPr>
  </w:style>
  <w:style w:type="paragraph" w:styleId="Heading3">
    <w:name w:val="heading 3"/>
    <w:basedOn w:val="Normal"/>
    <w:next w:val="Normal"/>
    <w:pPr>
      <w:keepNext w:val="1"/>
      <w:keepLines w:val="1"/>
      <w:spacing w:after="80" w:before="160" w:lineRule="auto"/>
    </w:pPr>
    <w:rPr>
      <w:color w:val="0f4761"/>
      <w:sz w:val="28"/>
      <w:szCs w:val="28"/>
    </w:rPr>
  </w:style>
  <w:style w:type="paragraph" w:styleId="Heading4">
    <w:name w:val="heading 4"/>
    <w:basedOn w:val="Normal"/>
    <w:next w:val="Normal"/>
    <w:pPr>
      <w:keepNext w:val="1"/>
      <w:keepLines w:val="1"/>
      <w:spacing w:after="40" w:before="80" w:lineRule="auto"/>
    </w:pPr>
    <w:rPr>
      <w:i w:val="1"/>
      <w:iCs w:val="1"/>
      <w:color w:val="0f4761"/>
    </w:rPr>
  </w:style>
  <w:style w:type="paragraph" w:styleId="Heading5">
    <w:name w:val="heading 5"/>
    <w:basedOn w:val="Normal"/>
    <w:next w:val="Normal"/>
    <w:pPr>
      <w:keepNext w:val="1"/>
      <w:keepLines w:val="1"/>
      <w:spacing w:after="40" w:before="80" w:lineRule="auto"/>
    </w:pPr>
    <w:rPr>
      <w:color w:val="0f4761"/>
    </w:rPr>
  </w:style>
  <w:style w:type="paragraph" w:styleId="Heading6">
    <w:name w:val="heading 6"/>
    <w:basedOn w:val="Normal"/>
    <w:next w:val="Normal"/>
    <w:pPr>
      <w:keepNext w:val="1"/>
      <w:keepLines w:val="1"/>
      <w:spacing w:after="0" w:before="40" w:lineRule="auto"/>
    </w:pPr>
    <w:rPr>
      <w:i w:val="1"/>
      <w:iCs w:val="1"/>
      <w:color w:val="595959"/>
    </w:rPr>
  </w:style>
  <w:style w:type="paragraph" w:styleId="Title">
    <w:name w:val="Title"/>
    <w:basedOn w:val="Normal"/>
    <w:next w:val="Normal"/>
    <w:pPr>
      <w:spacing w:after="80" w:line="240" w:lineRule="auto"/>
    </w:pPr>
    <w:rPr>
      <w:rFonts w:ascii="Play" w:cs="Play" w:eastAsia="Play" w:hAnsi="Play"/>
      <w:sz w:val="56"/>
      <w:szCs w:val="56"/>
    </w:rPr>
  </w:style>
  <w:style w:type="paragraph" w:styleId="Ttulo7">
    <w:name w:val="heading 7"/>
    <w:basedOn w:val="Normal"/>
    <w:next w:val="Normal"/>
    <w:link w:val="Ttulo7Char"/>
    <w:uiPriority w:val="9"/>
    <w:semiHidden w:val="1"/>
    <w:unhideWhenUsed w:val="1"/>
    <w:qFormat w:val="1"/>
    <w:rsid w:val="00D26568"/>
    <w:pPr>
      <w:keepNext w:val="1"/>
      <w:keepLines w:val="1"/>
      <w:spacing w:after="0" w:before="40"/>
      <w:outlineLvl w:val="6"/>
    </w:pPr>
    <w:rPr>
      <w:rFonts w:cstheme="majorBidi" w:eastAsiaTheme="majorEastAsia"/>
      <w:color w:val="595959" w:themeColor="text1" w:themeTint="0000A6"/>
    </w:rPr>
  </w:style>
  <w:style w:type="paragraph" w:styleId="Ttulo8">
    <w:name w:val="heading 8"/>
    <w:basedOn w:val="Normal"/>
    <w:next w:val="Normal"/>
    <w:link w:val="Ttulo8Char"/>
    <w:uiPriority w:val="9"/>
    <w:semiHidden w:val="1"/>
    <w:unhideWhenUsed w:val="1"/>
    <w:qFormat w:val="1"/>
    <w:rsid w:val="00D26568"/>
    <w:pPr>
      <w:keepNext w:val="1"/>
      <w:keepLines w:val="1"/>
      <w:spacing w:after="0"/>
      <w:outlineLvl w:val="7"/>
    </w:pPr>
    <w:rPr>
      <w:rFonts w:cstheme="majorBidi" w:eastAsiaTheme="majorEastAsia"/>
      <w:i w:val="1"/>
      <w:iCs w:val="1"/>
      <w:color w:val="272727" w:themeColor="text1" w:themeTint="0000D8"/>
    </w:rPr>
  </w:style>
  <w:style w:type="paragraph" w:styleId="Ttulo9">
    <w:name w:val="heading 9"/>
    <w:basedOn w:val="Normal"/>
    <w:next w:val="Normal"/>
    <w:link w:val="Ttulo9Char"/>
    <w:uiPriority w:val="9"/>
    <w:semiHidden w:val="1"/>
    <w:unhideWhenUsed w:val="1"/>
    <w:qFormat w:val="1"/>
    <w:rsid w:val="00D26568"/>
    <w:pPr>
      <w:keepNext w:val="1"/>
      <w:keepLines w:val="1"/>
      <w:spacing w:after="0"/>
      <w:outlineLvl w:val="8"/>
    </w:pPr>
    <w:rPr>
      <w:rFonts w:cstheme="majorBidi" w:eastAsiaTheme="majorEastAsia"/>
      <w:color w:val="272727" w:themeColor="text1" w:themeTint="0000D8"/>
    </w:rPr>
  </w:style>
  <w:style w:type="character" w:styleId="Fontepargpadro" w:default="1">
    <w:name w:val="Default Paragraph Font"/>
    <w:uiPriority w:val="1"/>
    <w:semiHidden w:val="1"/>
    <w:unhideWhenUsed w:val="1"/>
  </w:style>
  <w:style w:type="table" w:styleId="Tabe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emlista" w:default="1">
    <w:name w:val="No List"/>
    <w:uiPriority w:val="99"/>
    <w:semiHidden w:val="1"/>
    <w:unhideWhenUsed w:val="1"/>
  </w:style>
  <w:style w:type="character" w:styleId="Ttulo1Char" w:customStyle="1">
    <w:name w:val="Título 1 Char"/>
    <w:basedOn w:val="Fontepargpadro"/>
    <w:link w:val="Ttulo1"/>
    <w:uiPriority w:val="9"/>
    <w:rsid w:val="00D26568"/>
    <w:rPr>
      <w:rFonts w:asciiTheme="majorHAnsi" w:cstheme="majorBidi" w:eastAsiaTheme="majorEastAsia" w:hAnsiTheme="majorHAnsi"/>
      <w:color w:val="0f4761" w:themeColor="accent1" w:themeShade="0000BF"/>
      <w:sz w:val="40"/>
      <w:szCs w:val="40"/>
    </w:rPr>
  </w:style>
  <w:style w:type="character" w:styleId="Ttulo2Char" w:customStyle="1">
    <w:name w:val="Título 2 Char"/>
    <w:basedOn w:val="Fontepargpadro"/>
    <w:link w:val="Ttulo2"/>
    <w:uiPriority w:val="9"/>
    <w:semiHidden w:val="1"/>
    <w:rsid w:val="00D26568"/>
    <w:rPr>
      <w:rFonts w:asciiTheme="majorHAnsi" w:cstheme="majorBidi" w:eastAsiaTheme="majorEastAsia" w:hAnsiTheme="majorHAnsi"/>
      <w:color w:val="0f4761" w:themeColor="accent1" w:themeShade="0000BF"/>
      <w:sz w:val="32"/>
      <w:szCs w:val="32"/>
    </w:rPr>
  </w:style>
  <w:style w:type="character" w:styleId="Ttulo3Char" w:customStyle="1">
    <w:name w:val="Título 3 Char"/>
    <w:basedOn w:val="Fontepargpadro"/>
    <w:link w:val="Ttulo3"/>
    <w:uiPriority w:val="9"/>
    <w:semiHidden w:val="1"/>
    <w:rsid w:val="00D26568"/>
    <w:rPr>
      <w:rFonts w:cstheme="majorBidi" w:eastAsiaTheme="majorEastAsia"/>
      <w:color w:val="0f4761" w:themeColor="accent1" w:themeShade="0000BF"/>
      <w:sz w:val="28"/>
      <w:szCs w:val="28"/>
    </w:rPr>
  </w:style>
  <w:style w:type="character" w:styleId="Ttulo4Char" w:customStyle="1">
    <w:name w:val="Título 4 Char"/>
    <w:basedOn w:val="Fontepargpadro"/>
    <w:link w:val="Ttulo4"/>
    <w:uiPriority w:val="9"/>
    <w:semiHidden w:val="1"/>
    <w:rsid w:val="00D26568"/>
    <w:rPr>
      <w:rFonts w:cstheme="majorBidi" w:eastAsiaTheme="majorEastAsia"/>
      <w:i w:val="1"/>
      <w:iCs w:val="1"/>
      <w:color w:val="0f4761" w:themeColor="accent1" w:themeShade="0000BF"/>
    </w:rPr>
  </w:style>
  <w:style w:type="character" w:styleId="Ttulo5Char" w:customStyle="1">
    <w:name w:val="Título 5 Char"/>
    <w:basedOn w:val="Fontepargpadro"/>
    <w:link w:val="Ttulo5"/>
    <w:uiPriority w:val="9"/>
    <w:semiHidden w:val="1"/>
    <w:rsid w:val="00D26568"/>
    <w:rPr>
      <w:rFonts w:cstheme="majorBidi" w:eastAsiaTheme="majorEastAsia"/>
      <w:color w:val="0f4761" w:themeColor="accent1" w:themeShade="0000BF"/>
    </w:rPr>
  </w:style>
  <w:style w:type="character" w:styleId="Ttulo6Char" w:customStyle="1">
    <w:name w:val="Título 6 Char"/>
    <w:basedOn w:val="Fontepargpadro"/>
    <w:link w:val="Ttulo6"/>
    <w:uiPriority w:val="9"/>
    <w:semiHidden w:val="1"/>
    <w:rsid w:val="00D26568"/>
    <w:rPr>
      <w:rFonts w:cstheme="majorBidi" w:eastAsiaTheme="majorEastAsia"/>
      <w:i w:val="1"/>
      <w:iCs w:val="1"/>
      <w:color w:val="595959" w:themeColor="text1" w:themeTint="0000A6"/>
    </w:rPr>
  </w:style>
  <w:style w:type="character" w:styleId="Ttulo7Char" w:customStyle="1">
    <w:name w:val="Título 7 Char"/>
    <w:basedOn w:val="Fontepargpadro"/>
    <w:link w:val="Ttulo7"/>
    <w:uiPriority w:val="9"/>
    <w:semiHidden w:val="1"/>
    <w:rsid w:val="00D26568"/>
    <w:rPr>
      <w:rFonts w:cstheme="majorBidi" w:eastAsiaTheme="majorEastAsia"/>
      <w:color w:val="595959" w:themeColor="text1" w:themeTint="0000A6"/>
    </w:rPr>
  </w:style>
  <w:style w:type="character" w:styleId="Ttulo8Char" w:customStyle="1">
    <w:name w:val="Título 8 Char"/>
    <w:basedOn w:val="Fontepargpadro"/>
    <w:link w:val="Ttulo8"/>
    <w:uiPriority w:val="9"/>
    <w:semiHidden w:val="1"/>
    <w:rsid w:val="00D26568"/>
    <w:rPr>
      <w:rFonts w:cstheme="majorBidi" w:eastAsiaTheme="majorEastAsia"/>
      <w:i w:val="1"/>
      <w:iCs w:val="1"/>
      <w:color w:val="272727" w:themeColor="text1" w:themeTint="0000D8"/>
    </w:rPr>
  </w:style>
  <w:style w:type="character" w:styleId="Ttulo9Char" w:customStyle="1">
    <w:name w:val="Título 9 Char"/>
    <w:basedOn w:val="Fontepargpadro"/>
    <w:link w:val="Ttulo9"/>
    <w:uiPriority w:val="9"/>
    <w:semiHidden w:val="1"/>
    <w:rsid w:val="00D26568"/>
    <w:rPr>
      <w:rFonts w:cstheme="majorBidi" w:eastAsiaTheme="majorEastAsia"/>
      <w:color w:val="272727" w:themeColor="text1" w:themeTint="0000D8"/>
    </w:rPr>
  </w:style>
  <w:style w:type="character" w:styleId="TtuloChar" w:customStyle="1">
    <w:name w:val="Título Char"/>
    <w:basedOn w:val="Fontepargpadro"/>
    <w:link w:val="Ttulo"/>
    <w:uiPriority w:val="10"/>
    <w:rsid w:val="00D26568"/>
    <w:rPr>
      <w:rFonts w:asciiTheme="majorHAnsi" w:cstheme="majorBidi" w:eastAsiaTheme="majorEastAsia" w:hAnsiTheme="majorHAnsi"/>
      <w:spacing w:val="-10"/>
      <w:kern w:val="28"/>
      <w:sz w:val="56"/>
      <w:szCs w:val="56"/>
    </w:rPr>
  </w:style>
  <w:style w:type="character" w:styleId="SubttuloChar" w:customStyle="1">
    <w:name w:val="Subtítulo Char"/>
    <w:basedOn w:val="Fontepargpadro"/>
    <w:link w:val="Subttulo"/>
    <w:uiPriority w:val="11"/>
    <w:rsid w:val="00D26568"/>
    <w:rPr>
      <w:rFonts w:cstheme="majorBidi" w:eastAsiaTheme="majorEastAsia"/>
      <w:color w:val="595959" w:themeColor="text1" w:themeTint="0000A6"/>
      <w:spacing w:val="15"/>
      <w:sz w:val="28"/>
      <w:szCs w:val="28"/>
    </w:rPr>
  </w:style>
  <w:style w:type="paragraph" w:styleId="Citao">
    <w:name w:val="Quote"/>
    <w:basedOn w:val="Normal"/>
    <w:next w:val="Normal"/>
    <w:link w:val="CitaoChar"/>
    <w:uiPriority w:val="29"/>
    <w:qFormat w:val="1"/>
    <w:rsid w:val="00D26568"/>
    <w:pPr>
      <w:spacing w:before="160"/>
      <w:jc w:val="center"/>
    </w:pPr>
    <w:rPr>
      <w:i w:val="1"/>
      <w:iCs w:val="1"/>
      <w:color w:val="404040" w:themeColor="text1" w:themeTint="0000BF"/>
    </w:rPr>
  </w:style>
  <w:style w:type="character" w:styleId="CitaoChar" w:customStyle="1">
    <w:name w:val="Citação Char"/>
    <w:basedOn w:val="Fontepargpadro"/>
    <w:link w:val="Citao"/>
    <w:uiPriority w:val="29"/>
    <w:rsid w:val="00D26568"/>
    <w:rPr>
      <w:i w:val="1"/>
      <w:iCs w:val="1"/>
      <w:color w:val="404040" w:themeColor="text1" w:themeTint="0000BF"/>
    </w:rPr>
  </w:style>
  <w:style w:type="paragraph" w:styleId="PargrafodaLista">
    <w:name w:val="List Paragraph"/>
    <w:basedOn w:val="Normal"/>
    <w:uiPriority w:val="34"/>
    <w:qFormat w:val="1"/>
    <w:rsid w:val="00D26568"/>
    <w:pPr>
      <w:ind w:left="720"/>
      <w:contextualSpacing w:val="1"/>
    </w:pPr>
  </w:style>
  <w:style w:type="character" w:styleId="nfaseIntensa">
    <w:name w:val="Intense Emphasis"/>
    <w:basedOn w:val="Fontepargpadro"/>
    <w:uiPriority w:val="21"/>
    <w:qFormat w:val="1"/>
    <w:rsid w:val="00D26568"/>
    <w:rPr>
      <w:i w:val="1"/>
      <w:iCs w:val="1"/>
      <w:color w:val="0f4761" w:themeColor="accent1" w:themeShade="0000BF"/>
    </w:rPr>
  </w:style>
  <w:style w:type="paragraph" w:styleId="CitaoIntensa">
    <w:name w:val="Intense Quote"/>
    <w:basedOn w:val="Normal"/>
    <w:next w:val="Normal"/>
    <w:link w:val="CitaoIntensaChar"/>
    <w:uiPriority w:val="30"/>
    <w:qFormat w:val="1"/>
    <w:rsid w:val="00D26568"/>
    <w:pPr>
      <w:pBdr>
        <w:top w:color="0f4761" w:space="10" w:sz="4" w:themeColor="accent1" w:themeShade="0000BF" w:val="single"/>
        <w:bottom w:color="0f4761" w:space="10" w:sz="4" w:themeColor="accent1" w:themeShade="0000BF" w:val="single"/>
      </w:pBdr>
      <w:spacing w:after="360" w:before="360"/>
      <w:ind w:left="864" w:right="864"/>
      <w:jc w:val="center"/>
    </w:pPr>
    <w:rPr>
      <w:i w:val="1"/>
      <w:iCs w:val="1"/>
      <w:color w:val="0f4761" w:themeColor="accent1" w:themeShade="0000BF"/>
    </w:rPr>
  </w:style>
  <w:style w:type="character" w:styleId="CitaoIntensaChar" w:customStyle="1">
    <w:name w:val="Citação Intensa Char"/>
    <w:basedOn w:val="Fontepargpadro"/>
    <w:link w:val="CitaoIntensa"/>
    <w:uiPriority w:val="30"/>
    <w:rsid w:val="00D26568"/>
    <w:rPr>
      <w:i w:val="1"/>
      <w:iCs w:val="1"/>
      <w:color w:val="0f4761" w:themeColor="accent1" w:themeShade="0000BF"/>
    </w:rPr>
  </w:style>
  <w:style w:type="character" w:styleId="RefernciaIntensa">
    <w:name w:val="Intense Reference"/>
    <w:basedOn w:val="Fontepargpadro"/>
    <w:uiPriority w:val="32"/>
    <w:qFormat w:val="1"/>
    <w:rsid w:val="00D26568"/>
    <w:rPr>
      <w:b w:val="1"/>
      <w:bCs w:val="1"/>
      <w:smallCaps w:val="1"/>
      <w:color w:val="0f4761" w:themeColor="accent1" w:themeShade="0000BF"/>
      <w:spacing w:val="5"/>
    </w:rPr>
  </w:style>
  <w:style w:type="paragraph" w:styleId="Textodenotaderodap">
    <w:name w:val="footnote text"/>
    <w:basedOn w:val="Normal"/>
    <w:link w:val="TextodenotaderodapChar"/>
    <w:uiPriority w:val="99"/>
    <w:unhideWhenUsed w:val="1"/>
    <w:rsid w:val="00B7538C"/>
    <w:pPr>
      <w:spacing w:after="0" w:line="240" w:lineRule="auto"/>
    </w:pPr>
    <w:rPr>
      <w:sz w:val="20"/>
      <w:szCs w:val="20"/>
    </w:rPr>
  </w:style>
  <w:style w:type="character" w:styleId="TextodenotaderodapChar" w:customStyle="1">
    <w:name w:val="Texto de nota de rodapé Char"/>
    <w:basedOn w:val="Fontepargpadro"/>
    <w:link w:val="Textodenotaderodap"/>
    <w:uiPriority w:val="99"/>
    <w:rsid w:val="00B7538C"/>
    <w:rPr>
      <w:sz w:val="20"/>
      <w:szCs w:val="20"/>
    </w:rPr>
  </w:style>
  <w:style w:type="character" w:styleId="Refdenotaderodap">
    <w:name w:val="footnote reference"/>
    <w:basedOn w:val="Fontepargpadro"/>
    <w:uiPriority w:val="99"/>
    <w:semiHidden w:val="1"/>
    <w:unhideWhenUsed w:val="1"/>
    <w:rsid w:val="00B7538C"/>
    <w:rPr>
      <w:vertAlign w:val="superscript"/>
    </w:rPr>
  </w:style>
  <w:style w:type="character" w:styleId="Hyperlink">
    <w:name w:val="Hyperlink"/>
    <w:basedOn w:val="Fontepargpadro"/>
    <w:uiPriority w:val="99"/>
    <w:unhideWhenUsed w:val="1"/>
    <w:rsid w:val="00A33FF7"/>
    <w:rPr>
      <w:color w:val="467886" w:themeColor="hyperlink"/>
      <w:u w:val="single"/>
    </w:rPr>
  </w:style>
  <w:style w:type="character" w:styleId="MenoPendente">
    <w:name w:val="Unresolved Mention"/>
    <w:basedOn w:val="Fontepargpadro"/>
    <w:uiPriority w:val="99"/>
    <w:semiHidden w:val="1"/>
    <w:unhideWhenUsed w:val="1"/>
    <w:rsid w:val="00A33FF7"/>
    <w:rPr>
      <w:color w:val="605e5c"/>
      <w:shd w:color="auto" w:fill="e1dfdd" w:val="clear"/>
    </w:rPr>
  </w:style>
  <w:style w:type="paragraph" w:styleId="Subtitle">
    <w:name w:val="Subtitle"/>
    <w:basedOn w:val="Normal"/>
    <w:next w:val="Normal"/>
    <w:pPr/>
    <w:rPr>
      <w:color w:val="595959"/>
      <w:sz w:val="28"/>
      <w:szCs w:val="2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openxmlformats.org/officeDocument/2006/relationships/hyperlink" Target="https://www.ejiltalk.org/prolonged-occupation-or-illegal-occupant/"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Play-regular.ttf"/><Relationship Id="rId2" Type="http://schemas.openxmlformats.org/officeDocument/2006/relationships/font" Target="fonts/Play-bold.tt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FZ4Dnj+kjjlziCjAXQFEnPxvpQw==">CgMxLjA4AHIhMTVNQjl1am9DQnFDVTlDNi16R0g1RXFvS3lUeFJibjNG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2026-02-01T14:42:00Z</dcterms:created>
  <dc:creator>Paula Strogoff</dc:creator>
</cp:coreProperties>
</file>